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B5B" w14:textId="77777777" w:rsidR="001B30F1" w:rsidRPr="001B30F1" w:rsidRDefault="001B30F1" w:rsidP="001B30F1">
      <w:pPr>
        <w:rPr>
          <w:b/>
          <w:sz w:val="40"/>
          <w:szCs w:val="40"/>
          <w:lang w:eastAsia="en-US"/>
        </w:rPr>
      </w:pPr>
      <w:bookmarkStart w:id="0" w:name="_Toc356298202"/>
      <w:r>
        <w:rPr>
          <w:b/>
          <w:sz w:val="28"/>
          <w:szCs w:val="28"/>
        </w:rPr>
        <w:t xml:space="preserve">                             </w:t>
      </w:r>
      <w:r w:rsidRPr="001B30F1">
        <w:rPr>
          <w:b/>
          <w:sz w:val="40"/>
          <w:szCs w:val="40"/>
        </w:rPr>
        <w:t>ACTION PLAN</w:t>
      </w:r>
      <w:bookmarkEnd w:id="0"/>
    </w:p>
    <w:p w14:paraId="75DEB26D" w14:textId="77777777" w:rsidR="001B30F1" w:rsidRDefault="001B30F1" w:rsidP="001B30F1"/>
    <w:p w14:paraId="7B6FEB6B" w14:textId="77777777" w:rsidR="001B30F1" w:rsidRDefault="001B30F1" w:rsidP="001B30F1">
      <w:r>
        <w:t>It is considered necessary that all recommendations in the Action Plan be implemented in order to reduce fire risk to, or maintain it at, the following level:</w:t>
      </w:r>
    </w:p>
    <w:p w14:paraId="0FA75BF0" w14:textId="77777777" w:rsidR="001B30F1" w:rsidRDefault="001B30F1" w:rsidP="001B30F1"/>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1634"/>
      </w:tblGrid>
      <w:tr w:rsidR="001B30F1" w14:paraId="7165C503" w14:textId="77777777" w:rsidTr="00A4095B">
        <w:tc>
          <w:tcPr>
            <w:tcW w:w="1910" w:type="dxa"/>
          </w:tcPr>
          <w:p w14:paraId="227EC79A" w14:textId="77777777" w:rsidR="001B30F1" w:rsidRDefault="001B30F1" w:rsidP="00A4095B">
            <w:pPr>
              <w:spacing w:before="120" w:after="120"/>
            </w:pPr>
            <w:r w:rsidRPr="00151946">
              <w:t>Trivial</w:t>
            </w:r>
          </w:p>
        </w:tc>
        <w:tc>
          <w:tcPr>
            <w:tcW w:w="1634" w:type="dxa"/>
          </w:tcPr>
          <w:p w14:paraId="74BC285F" w14:textId="77777777" w:rsidR="001B30F1" w:rsidRDefault="001B30F1" w:rsidP="00A4095B"/>
        </w:tc>
      </w:tr>
      <w:tr w:rsidR="001B30F1" w14:paraId="4D05A0AB" w14:textId="77777777" w:rsidTr="00A4095B">
        <w:tc>
          <w:tcPr>
            <w:tcW w:w="1910" w:type="dxa"/>
          </w:tcPr>
          <w:p w14:paraId="6843F1B5" w14:textId="77777777" w:rsidR="001B30F1" w:rsidRDefault="001B30F1" w:rsidP="00A4095B">
            <w:pPr>
              <w:spacing w:before="120" w:after="120"/>
            </w:pPr>
            <w:r w:rsidRPr="00151946">
              <w:t>Tolerable</w:t>
            </w:r>
          </w:p>
        </w:tc>
        <w:tc>
          <w:tcPr>
            <w:tcW w:w="1634" w:type="dxa"/>
          </w:tcPr>
          <w:p w14:paraId="119CA312" w14:textId="77777777" w:rsidR="001B30F1" w:rsidRDefault="001B30F1" w:rsidP="00A4095B">
            <w:pPr>
              <w:rPr>
                <w:rFonts w:ascii="Zapf Dingbats" w:hAnsi="Zapf Dingbats" w:hint="eastAsia"/>
                <w:color w:val="000000"/>
              </w:rPr>
            </w:pPr>
          </w:p>
          <w:p w14:paraId="412895BF" w14:textId="77777777" w:rsidR="001B30F1" w:rsidRDefault="001B30F1" w:rsidP="00A4095B">
            <w:r>
              <w:rPr>
                <w:rFonts w:ascii="Zapf Dingbats" w:hAnsi="Zapf Dingbats" w:hint="eastAsia"/>
                <w:color w:val="000000"/>
                <w:szCs w:val="20"/>
              </w:rPr>
              <w:sym w:font="Symbol" w:char="F0D6"/>
            </w:r>
          </w:p>
        </w:tc>
      </w:tr>
    </w:tbl>
    <w:p w14:paraId="6BF1A99E" w14:textId="77777777" w:rsidR="001B30F1" w:rsidRDefault="001B30F1" w:rsidP="001B30F1"/>
    <w:p w14:paraId="31050903" w14:textId="77777777" w:rsidR="001B30F1" w:rsidRDefault="001B30F1" w:rsidP="001B30F1">
      <w:r>
        <w:rPr>
          <w:b/>
        </w:rPr>
        <w:t>INTOLERABLE</w:t>
      </w:r>
      <w:r w:rsidRPr="00861A4C">
        <w:t xml:space="preserve"> risks </w:t>
      </w:r>
      <w:r>
        <w:t>will be</w:t>
      </w:r>
      <w:r w:rsidRPr="00861A4C">
        <w:t xml:space="preserve"> </w:t>
      </w:r>
      <w:r>
        <w:t>notified</w:t>
      </w:r>
      <w:r w:rsidRPr="00861A4C">
        <w:t xml:space="preserve"> at the time of inspection</w:t>
      </w:r>
      <w:r>
        <w:t xml:space="preserve"> and should be cleared immediately</w:t>
      </w:r>
      <w:r w:rsidRPr="00861A4C">
        <w:t>.  If this is not possible the premises Fire Safety Manager will be contacted a</w:t>
      </w:r>
      <w:r>
        <w:t>nd advised of the serious</w:t>
      </w:r>
      <w:r w:rsidRPr="00861A4C">
        <w:t xml:space="preserve"> risk and the need for immediate action.</w:t>
      </w:r>
    </w:p>
    <w:p w14:paraId="2937803F" w14:textId="77777777" w:rsidR="001B30F1" w:rsidRDefault="001B30F1" w:rsidP="001B30F1"/>
    <w:p w14:paraId="513FC7A7" w14:textId="77777777" w:rsidR="001B30F1" w:rsidRPr="00861A4C" w:rsidRDefault="001B30F1" w:rsidP="001B30F1">
      <w:r w:rsidRPr="00BD4DD8">
        <w:rPr>
          <w:b/>
        </w:rPr>
        <w:t>SUBSTANTIAL</w:t>
      </w:r>
      <w:r>
        <w:t xml:space="preserve"> risks are set as a </w:t>
      </w:r>
      <w:r w:rsidRPr="00364C71">
        <w:rPr>
          <w:b/>
        </w:rPr>
        <w:t>HIGH</w:t>
      </w:r>
      <w:r>
        <w:t xml:space="preserve"> priority within the action plan and action should be taken to rectify them within </w:t>
      </w:r>
      <w:r w:rsidRPr="00457DEF">
        <w:rPr>
          <w:b/>
          <w:i/>
        </w:rPr>
        <w:t>1 month</w:t>
      </w:r>
    </w:p>
    <w:p w14:paraId="16DB388C" w14:textId="77777777" w:rsidR="001B30F1" w:rsidRPr="00861A4C" w:rsidRDefault="001B30F1" w:rsidP="001B30F1"/>
    <w:p w14:paraId="73151565" w14:textId="77777777" w:rsidR="001B30F1" w:rsidRPr="00861A4C" w:rsidRDefault="001B30F1" w:rsidP="001B30F1">
      <w:r w:rsidRPr="00457DEF">
        <w:rPr>
          <w:b/>
        </w:rPr>
        <w:t>MODERATE</w:t>
      </w:r>
      <w:r w:rsidRPr="00861A4C">
        <w:t xml:space="preserve"> risks are set as </w:t>
      </w:r>
      <w:r w:rsidRPr="00861A4C">
        <w:rPr>
          <w:b/>
        </w:rPr>
        <w:t>MEDIUM</w:t>
      </w:r>
      <w:r w:rsidRPr="00861A4C">
        <w:t xml:space="preserve"> </w:t>
      </w:r>
      <w:r>
        <w:t xml:space="preserve">priority within the action plan and action should be taken to rectify them within </w:t>
      </w:r>
      <w:r w:rsidRPr="00457DEF">
        <w:rPr>
          <w:b/>
          <w:i/>
        </w:rPr>
        <w:t>three months</w:t>
      </w:r>
      <w:r w:rsidRPr="00861A4C">
        <w:t xml:space="preserve">, or to be reduced in severity to a </w:t>
      </w:r>
      <w:r>
        <w:rPr>
          <w:b/>
        </w:rPr>
        <w:t>Tolerable</w:t>
      </w:r>
      <w:r w:rsidRPr="00861A4C">
        <w:t xml:space="preserve"> risk until the defect can be rectified.</w:t>
      </w:r>
    </w:p>
    <w:p w14:paraId="0AE2A8EC" w14:textId="77777777" w:rsidR="001B30F1" w:rsidRDefault="001B30F1" w:rsidP="001B30F1"/>
    <w:p w14:paraId="3477287F" w14:textId="77777777" w:rsidR="001B30F1" w:rsidRDefault="001B30F1" w:rsidP="001B30F1">
      <w:pPr>
        <w:rPr>
          <w:b/>
          <w:i/>
        </w:rPr>
      </w:pPr>
      <w:r w:rsidRPr="00457DEF">
        <w:rPr>
          <w:b/>
        </w:rPr>
        <w:t>TOLERABLE</w:t>
      </w:r>
      <w:r w:rsidRPr="00861A4C">
        <w:t xml:space="preserve"> risks have a </w:t>
      </w:r>
      <w:r w:rsidRPr="00861A4C">
        <w:rPr>
          <w:b/>
        </w:rPr>
        <w:t>LOW</w:t>
      </w:r>
      <w:r w:rsidRPr="00861A4C">
        <w:t xml:space="preserve"> </w:t>
      </w:r>
      <w:r>
        <w:t xml:space="preserve">priority within the action plan and action should be taken to rectify them within </w:t>
      </w:r>
      <w:r w:rsidRPr="00457DEF">
        <w:rPr>
          <w:b/>
          <w:i/>
        </w:rPr>
        <w:t>six months</w:t>
      </w:r>
      <w:r>
        <w:rPr>
          <w:b/>
          <w:i/>
        </w:rPr>
        <w:t>.</w:t>
      </w:r>
    </w:p>
    <w:p w14:paraId="5A5963E8" w14:textId="77777777" w:rsidR="001B30F1" w:rsidRDefault="001B30F1" w:rsidP="001B30F1">
      <w:pPr>
        <w:rPr>
          <w:b/>
          <w:i/>
        </w:rPr>
      </w:pPr>
    </w:p>
    <w:p w14:paraId="325A97F8" w14:textId="77777777" w:rsidR="001B30F1" w:rsidRPr="00457DEF" w:rsidRDefault="001B30F1" w:rsidP="001B30F1">
      <w:r>
        <w:rPr>
          <w:b/>
        </w:rPr>
        <w:t xml:space="preserve">TRIVIAL </w:t>
      </w:r>
      <w:r>
        <w:t>risks will be included as advisory action with no time period for completion.</w:t>
      </w:r>
    </w:p>
    <w:p w14:paraId="5884D305" w14:textId="77777777" w:rsidR="001B30F1" w:rsidRPr="00861A4C" w:rsidRDefault="001B30F1" w:rsidP="001B30F1">
      <w:pPr>
        <w:rPr>
          <w:b/>
          <w:u w:val="single"/>
        </w:rPr>
      </w:pPr>
    </w:p>
    <w:p w14:paraId="7AA03D0E" w14:textId="77777777" w:rsidR="001B30F1" w:rsidRDefault="001B30F1" w:rsidP="001B30F1">
      <w:r w:rsidRPr="00861A4C">
        <w:t>The time for rectification is judged reasonable for the risk category but the rectification should be as soon as possible and within the time set by the company’s policy on such matters.</w:t>
      </w:r>
    </w:p>
    <w:p w14:paraId="705344E8" w14:textId="77777777" w:rsidR="001B30F1" w:rsidRDefault="001B30F1" w:rsidP="001B30F1"/>
    <w:p w14:paraId="45877E2E" w14:textId="77777777" w:rsidR="001B30F1" w:rsidRDefault="001B30F1" w:rsidP="001B30F1"/>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5250"/>
        <w:gridCol w:w="1345"/>
        <w:gridCol w:w="1233"/>
        <w:gridCol w:w="993"/>
      </w:tblGrid>
      <w:tr w:rsidR="001B30F1" w14:paraId="37CCE54C" w14:textId="77777777" w:rsidTr="00A4095B">
        <w:trPr>
          <w:trHeight w:val="387"/>
        </w:trPr>
        <w:tc>
          <w:tcPr>
            <w:tcW w:w="1386" w:type="dxa"/>
          </w:tcPr>
          <w:p w14:paraId="7A0074F6" w14:textId="77777777" w:rsidR="001B30F1" w:rsidRPr="008D7549" w:rsidRDefault="001B30F1" w:rsidP="00A4095B">
            <w:pPr>
              <w:ind w:left="-534" w:firstLine="534"/>
              <w:rPr>
                <w:b/>
              </w:rPr>
            </w:pPr>
            <w:r w:rsidRPr="008D7549">
              <w:rPr>
                <w:b/>
              </w:rPr>
              <w:t>Section</w:t>
            </w:r>
          </w:p>
        </w:tc>
        <w:tc>
          <w:tcPr>
            <w:tcW w:w="5250" w:type="dxa"/>
          </w:tcPr>
          <w:p w14:paraId="7E9401CA" w14:textId="77777777" w:rsidR="001B30F1" w:rsidRPr="008D7549" w:rsidRDefault="001B30F1" w:rsidP="00A4095B">
            <w:pPr>
              <w:rPr>
                <w:b/>
              </w:rPr>
            </w:pPr>
            <w:r w:rsidRPr="008D7549">
              <w:rPr>
                <w:b/>
              </w:rPr>
              <w:t>Action</w:t>
            </w:r>
          </w:p>
        </w:tc>
        <w:tc>
          <w:tcPr>
            <w:tcW w:w="1345" w:type="dxa"/>
          </w:tcPr>
          <w:p w14:paraId="0F15AF7A" w14:textId="77777777" w:rsidR="001B30F1" w:rsidRPr="008D7549" w:rsidRDefault="001B30F1" w:rsidP="00A4095B">
            <w:pPr>
              <w:rPr>
                <w:b/>
              </w:rPr>
            </w:pPr>
            <w:r w:rsidRPr="008D7549">
              <w:rPr>
                <w:b/>
              </w:rPr>
              <w:t>Priority</w:t>
            </w:r>
          </w:p>
        </w:tc>
        <w:tc>
          <w:tcPr>
            <w:tcW w:w="1233" w:type="dxa"/>
          </w:tcPr>
          <w:p w14:paraId="4DF98FFF" w14:textId="77777777" w:rsidR="001B30F1" w:rsidRPr="008D7549" w:rsidRDefault="001B30F1" w:rsidP="00A4095B">
            <w:pPr>
              <w:rPr>
                <w:b/>
              </w:rPr>
            </w:pPr>
            <w:r w:rsidRPr="008D7549">
              <w:rPr>
                <w:b/>
              </w:rPr>
              <w:t>Action by whom</w:t>
            </w:r>
          </w:p>
        </w:tc>
        <w:tc>
          <w:tcPr>
            <w:tcW w:w="993" w:type="dxa"/>
          </w:tcPr>
          <w:p w14:paraId="7A15F7B5" w14:textId="77777777" w:rsidR="001B30F1" w:rsidRPr="008D7549" w:rsidRDefault="001B30F1" w:rsidP="00A4095B">
            <w:pPr>
              <w:rPr>
                <w:b/>
              </w:rPr>
            </w:pPr>
            <w:r w:rsidRPr="008D7549">
              <w:rPr>
                <w:b/>
              </w:rPr>
              <w:t>Date action taken</w:t>
            </w:r>
          </w:p>
        </w:tc>
      </w:tr>
      <w:tr w:rsidR="001B30F1" w14:paraId="2002B139" w14:textId="77777777" w:rsidTr="00A4095B">
        <w:trPr>
          <w:trHeight w:val="387"/>
        </w:trPr>
        <w:tc>
          <w:tcPr>
            <w:tcW w:w="1386" w:type="dxa"/>
          </w:tcPr>
          <w:p w14:paraId="4A8568E7" w14:textId="77777777" w:rsidR="001B30F1" w:rsidRDefault="001B30F1" w:rsidP="00A4095B">
            <w:pPr>
              <w:rPr>
                <w:szCs w:val="20"/>
              </w:rPr>
            </w:pPr>
            <w:r>
              <w:rPr>
                <w:szCs w:val="20"/>
              </w:rPr>
              <w:t>7.7</w:t>
            </w:r>
          </w:p>
        </w:tc>
        <w:tc>
          <w:tcPr>
            <w:tcW w:w="5250" w:type="dxa"/>
          </w:tcPr>
          <w:p w14:paraId="7B164D04" w14:textId="77777777" w:rsidR="001B30F1" w:rsidRDefault="001B30F1" w:rsidP="00A4095B">
            <w:pPr>
              <w:rPr>
                <w:rFonts w:cs="Tahoma"/>
                <w:szCs w:val="20"/>
              </w:rPr>
            </w:pPr>
            <w:r>
              <w:rPr>
                <w:rFonts w:cs="Tahoma"/>
                <w:szCs w:val="20"/>
              </w:rPr>
              <w:t>The disconnected earth wire outside the new kitchen should be investigated, see photograph 1.</w:t>
            </w:r>
          </w:p>
          <w:p w14:paraId="21959043" w14:textId="77777777" w:rsidR="001B30F1" w:rsidRPr="00530ED4" w:rsidRDefault="001B30F1" w:rsidP="00A4095B">
            <w:pPr>
              <w:rPr>
                <w:rFonts w:cs="Tahoma"/>
                <w:szCs w:val="20"/>
              </w:rPr>
            </w:pPr>
          </w:p>
        </w:tc>
        <w:tc>
          <w:tcPr>
            <w:tcW w:w="1345" w:type="dxa"/>
          </w:tcPr>
          <w:p w14:paraId="01CC0CEC" w14:textId="77777777" w:rsidR="001B30F1" w:rsidRDefault="001B30F1" w:rsidP="00A4095B">
            <w:pPr>
              <w:rPr>
                <w:szCs w:val="20"/>
              </w:rPr>
            </w:pPr>
            <w:r>
              <w:rPr>
                <w:szCs w:val="20"/>
              </w:rPr>
              <w:t>Substantial</w:t>
            </w:r>
          </w:p>
          <w:p w14:paraId="0C185E27" w14:textId="77777777" w:rsidR="001B30F1" w:rsidRPr="00530ED4" w:rsidRDefault="001B30F1" w:rsidP="00A4095B">
            <w:pPr>
              <w:rPr>
                <w:szCs w:val="20"/>
              </w:rPr>
            </w:pPr>
          </w:p>
        </w:tc>
        <w:tc>
          <w:tcPr>
            <w:tcW w:w="1233" w:type="dxa"/>
          </w:tcPr>
          <w:p w14:paraId="1DE0BC4A" w14:textId="77777777" w:rsidR="001B30F1" w:rsidRPr="00AB160F" w:rsidRDefault="001B30F1" w:rsidP="00A4095B">
            <w:pPr>
              <w:rPr>
                <w:szCs w:val="20"/>
              </w:rPr>
            </w:pPr>
          </w:p>
        </w:tc>
        <w:tc>
          <w:tcPr>
            <w:tcW w:w="993" w:type="dxa"/>
          </w:tcPr>
          <w:p w14:paraId="51A41D3E" w14:textId="77777777" w:rsidR="001B30F1" w:rsidRDefault="001B30F1" w:rsidP="00A4095B"/>
        </w:tc>
      </w:tr>
      <w:tr w:rsidR="001B30F1" w14:paraId="66A30C7C" w14:textId="77777777" w:rsidTr="00A4095B">
        <w:trPr>
          <w:trHeight w:val="387"/>
        </w:trPr>
        <w:tc>
          <w:tcPr>
            <w:tcW w:w="1386" w:type="dxa"/>
          </w:tcPr>
          <w:p w14:paraId="2255A3D6" w14:textId="77777777" w:rsidR="001B30F1" w:rsidRDefault="001B30F1" w:rsidP="00A4095B">
            <w:pPr>
              <w:rPr>
                <w:szCs w:val="20"/>
              </w:rPr>
            </w:pPr>
            <w:r>
              <w:rPr>
                <w:szCs w:val="20"/>
              </w:rPr>
              <w:t>8.4</w:t>
            </w:r>
          </w:p>
        </w:tc>
        <w:tc>
          <w:tcPr>
            <w:tcW w:w="5250" w:type="dxa"/>
          </w:tcPr>
          <w:p w14:paraId="4A7B1133" w14:textId="77777777" w:rsidR="001B30F1" w:rsidRPr="00530ED4" w:rsidRDefault="001B30F1" w:rsidP="00A4095B">
            <w:pPr>
              <w:rPr>
                <w:szCs w:val="20"/>
              </w:rPr>
            </w:pPr>
            <w:r w:rsidRPr="00530ED4">
              <w:rPr>
                <w:szCs w:val="20"/>
              </w:rPr>
              <w:t xml:space="preserve">Wherever smoking is permitted, suitable non-combustible containers should be provided for the disposal of spent smoking materials. </w:t>
            </w:r>
            <w:r>
              <w:rPr>
                <w:szCs w:val="20"/>
              </w:rPr>
              <w:t>It is recommended that a dedicated smoking area, preferably covered, is provided at least 3 metres away from the building.</w:t>
            </w:r>
            <w:r w:rsidRPr="00530ED4">
              <w:rPr>
                <w:szCs w:val="20"/>
              </w:rPr>
              <w:t xml:space="preserve"> Sp</w:t>
            </w:r>
            <w:r>
              <w:rPr>
                <w:szCs w:val="20"/>
              </w:rPr>
              <w:t>ent smoking materials must be</w:t>
            </w:r>
            <w:r w:rsidRPr="00530ED4">
              <w:rPr>
                <w:szCs w:val="20"/>
              </w:rPr>
              <w:t xml:space="preserve"> not added to the general rubbish until the following day.</w:t>
            </w:r>
          </w:p>
          <w:p w14:paraId="6E4F9DCD" w14:textId="77777777" w:rsidR="001B30F1" w:rsidRPr="00530ED4" w:rsidRDefault="001B30F1" w:rsidP="00A4095B">
            <w:pPr>
              <w:pStyle w:val="BodyText"/>
              <w:rPr>
                <w:rFonts w:ascii="Verdana" w:hAnsi="Verdana"/>
              </w:rPr>
            </w:pPr>
          </w:p>
        </w:tc>
        <w:tc>
          <w:tcPr>
            <w:tcW w:w="1345" w:type="dxa"/>
          </w:tcPr>
          <w:p w14:paraId="7F65BE3A" w14:textId="77777777" w:rsidR="001B30F1" w:rsidRDefault="001B30F1" w:rsidP="00A4095B">
            <w:pPr>
              <w:rPr>
                <w:szCs w:val="20"/>
              </w:rPr>
            </w:pPr>
            <w:r>
              <w:rPr>
                <w:szCs w:val="20"/>
              </w:rPr>
              <w:t>Substantial</w:t>
            </w:r>
          </w:p>
        </w:tc>
        <w:tc>
          <w:tcPr>
            <w:tcW w:w="1233" w:type="dxa"/>
          </w:tcPr>
          <w:p w14:paraId="7D3FA18A" w14:textId="77777777" w:rsidR="001B30F1" w:rsidRPr="00AB160F" w:rsidRDefault="001B30F1" w:rsidP="00A4095B">
            <w:pPr>
              <w:rPr>
                <w:szCs w:val="20"/>
              </w:rPr>
            </w:pPr>
          </w:p>
        </w:tc>
        <w:tc>
          <w:tcPr>
            <w:tcW w:w="993" w:type="dxa"/>
          </w:tcPr>
          <w:p w14:paraId="0D252FAF" w14:textId="77777777" w:rsidR="001B30F1" w:rsidRDefault="001B30F1" w:rsidP="00A4095B"/>
        </w:tc>
      </w:tr>
      <w:tr w:rsidR="001B30F1" w14:paraId="54F48172" w14:textId="77777777" w:rsidTr="00A4095B">
        <w:trPr>
          <w:trHeight w:val="387"/>
        </w:trPr>
        <w:tc>
          <w:tcPr>
            <w:tcW w:w="1386" w:type="dxa"/>
          </w:tcPr>
          <w:p w14:paraId="1822EEEE" w14:textId="77777777" w:rsidR="001B30F1" w:rsidRDefault="001B30F1" w:rsidP="00A4095B">
            <w:pPr>
              <w:rPr>
                <w:szCs w:val="20"/>
              </w:rPr>
            </w:pPr>
            <w:r>
              <w:rPr>
                <w:szCs w:val="20"/>
              </w:rPr>
              <w:t>9.2</w:t>
            </w:r>
          </w:p>
        </w:tc>
        <w:tc>
          <w:tcPr>
            <w:tcW w:w="5250" w:type="dxa"/>
          </w:tcPr>
          <w:p w14:paraId="0F34D9EF" w14:textId="77777777" w:rsidR="001B30F1" w:rsidRDefault="001B30F1" w:rsidP="00A4095B">
            <w:pPr>
              <w:rPr>
                <w:rFonts w:cs="Arial"/>
                <w:szCs w:val="20"/>
              </w:rPr>
            </w:pPr>
            <w:r w:rsidRPr="007B3DCC">
              <w:rPr>
                <w:rFonts w:cs="Arial"/>
                <w:szCs w:val="20"/>
              </w:rPr>
              <w:t>Wheeled bins not kept in compounds, should be protected by a restraint system i.e. the bin being secured by padlock and chain or similar means, so that they cannot be moved. If practicable, the lids of such bins should be kept locked. Storage locations sho</w:t>
            </w:r>
            <w:r>
              <w:rPr>
                <w:rFonts w:cs="Arial"/>
                <w:szCs w:val="20"/>
              </w:rPr>
              <w:t>uld be well away from buildings, see main picture. The bins may be unsecured during the day when the premises is occupied to allow emptying.</w:t>
            </w:r>
          </w:p>
          <w:p w14:paraId="79996583" w14:textId="77777777" w:rsidR="001B30F1" w:rsidRPr="007B3DCC" w:rsidRDefault="001B30F1" w:rsidP="00A4095B">
            <w:pPr>
              <w:rPr>
                <w:rFonts w:cs="Arial"/>
                <w:szCs w:val="20"/>
              </w:rPr>
            </w:pPr>
            <w:r>
              <w:rPr>
                <w:rFonts w:cs="Arial"/>
                <w:szCs w:val="20"/>
              </w:rPr>
              <w:lastRenderedPageBreak/>
              <w:t>The area underneath the suspended floor should be protected against the accumulation of rubbish and arson.</w:t>
            </w:r>
          </w:p>
          <w:p w14:paraId="0CD83B91" w14:textId="77777777" w:rsidR="001B30F1" w:rsidRPr="00530ED4" w:rsidRDefault="001B30F1" w:rsidP="00A4095B">
            <w:pPr>
              <w:rPr>
                <w:szCs w:val="20"/>
              </w:rPr>
            </w:pPr>
          </w:p>
        </w:tc>
        <w:tc>
          <w:tcPr>
            <w:tcW w:w="1345" w:type="dxa"/>
          </w:tcPr>
          <w:p w14:paraId="5E71EF95" w14:textId="77777777" w:rsidR="001B30F1" w:rsidRDefault="001B30F1" w:rsidP="00A4095B">
            <w:pPr>
              <w:rPr>
                <w:szCs w:val="20"/>
              </w:rPr>
            </w:pPr>
            <w:r>
              <w:rPr>
                <w:szCs w:val="20"/>
              </w:rPr>
              <w:lastRenderedPageBreak/>
              <w:t>Substantial</w:t>
            </w:r>
          </w:p>
          <w:p w14:paraId="54011306" w14:textId="77777777" w:rsidR="001B30F1" w:rsidRDefault="001B30F1" w:rsidP="00A4095B">
            <w:pPr>
              <w:rPr>
                <w:szCs w:val="20"/>
              </w:rPr>
            </w:pPr>
          </w:p>
          <w:p w14:paraId="4843BC99" w14:textId="77777777" w:rsidR="001B30F1" w:rsidRDefault="001B30F1" w:rsidP="00A4095B">
            <w:pPr>
              <w:rPr>
                <w:szCs w:val="20"/>
              </w:rPr>
            </w:pPr>
          </w:p>
          <w:p w14:paraId="69A7173D" w14:textId="77777777" w:rsidR="001B30F1" w:rsidRDefault="001B30F1" w:rsidP="00A4095B">
            <w:pPr>
              <w:rPr>
                <w:szCs w:val="20"/>
              </w:rPr>
            </w:pPr>
          </w:p>
          <w:p w14:paraId="4A33814F" w14:textId="77777777" w:rsidR="001B30F1" w:rsidRDefault="001B30F1" w:rsidP="00A4095B">
            <w:pPr>
              <w:rPr>
                <w:szCs w:val="20"/>
              </w:rPr>
            </w:pPr>
          </w:p>
          <w:p w14:paraId="34F4A118" w14:textId="77777777" w:rsidR="001B30F1" w:rsidRDefault="001B30F1" w:rsidP="00A4095B">
            <w:pPr>
              <w:rPr>
                <w:szCs w:val="20"/>
              </w:rPr>
            </w:pPr>
          </w:p>
          <w:p w14:paraId="27D4F70D" w14:textId="77777777" w:rsidR="001B30F1" w:rsidRDefault="001B30F1" w:rsidP="00A4095B">
            <w:pPr>
              <w:rPr>
                <w:szCs w:val="20"/>
              </w:rPr>
            </w:pPr>
          </w:p>
          <w:p w14:paraId="301685B1" w14:textId="77777777" w:rsidR="001B30F1" w:rsidRDefault="001B30F1" w:rsidP="00A4095B">
            <w:pPr>
              <w:rPr>
                <w:szCs w:val="20"/>
              </w:rPr>
            </w:pPr>
          </w:p>
          <w:p w14:paraId="6B139437" w14:textId="77777777" w:rsidR="001B30F1" w:rsidRDefault="001B30F1" w:rsidP="00A4095B">
            <w:pPr>
              <w:rPr>
                <w:szCs w:val="20"/>
              </w:rPr>
            </w:pPr>
          </w:p>
          <w:p w14:paraId="6929F5AB" w14:textId="77777777" w:rsidR="001B30F1" w:rsidRDefault="001B30F1" w:rsidP="00A4095B">
            <w:pPr>
              <w:rPr>
                <w:szCs w:val="20"/>
              </w:rPr>
            </w:pPr>
          </w:p>
          <w:p w14:paraId="09C28C59" w14:textId="77777777" w:rsidR="001B30F1" w:rsidRDefault="001B30F1" w:rsidP="00A4095B">
            <w:pPr>
              <w:rPr>
                <w:szCs w:val="20"/>
              </w:rPr>
            </w:pPr>
            <w:r>
              <w:rPr>
                <w:szCs w:val="20"/>
              </w:rPr>
              <w:t>Substantial</w:t>
            </w:r>
          </w:p>
        </w:tc>
        <w:tc>
          <w:tcPr>
            <w:tcW w:w="1233" w:type="dxa"/>
          </w:tcPr>
          <w:p w14:paraId="078EE30A" w14:textId="77777777" w:rsidR="001B30F1" w:rsidRPr="00AB160F" w:rsidRDefault="001B30F1" w:rsidP="00A4095B">
            <w:pPr>
              <w:rPr>
                <w:szCs w:val="20"/>
              </w:rPr>
            </w:pPr>
          </w:p>
        </w:tc>
        <w:tc>
          <w:tcPr>
            <w:tcW w:w="993" w:type="dxa"/>
          </w:tcPr>
          <w:p w14:paraId="0FA8ACA9" w14:textId="77777777" w:rsidR="001B30F1" w:rsidRDefault="001B30F1" w:rsidP="00A4095B"/>
        </w:tc>
      </w:tr>
      <w:tr w:rsidR="001B30F1" w14:paraId="5AB7E529" w14:textId="77777777" w:rsidTr="00A4095B">
        <w:trPr>
          <w:trHeight w:val="387"/>
        </w:trPr>
        <w:tc>
          <w:tcPr>
            <w:tcW w:w="1386" w:type="dxa"/>
          </w:tcPr>
          <w:p w14:paraId="4316D924" w14:textId="77777777" w:rsidR="001B30F1" w:rsidRDefault="001B30F1" w:rsidP="00A4095B">
            <w:pPr>
              <w:rPr>
                <w:szCs w:val="20"/>
              </w:rPr>
            </w:pPr>
            <w:r>
              <w:rPr>
                <w:szCs w:val="20"/>
              </w:rPr>
              <w:t>9.3</w:t>
            </w:r>
          </w:p>
        </w:tc>
        <w:tc>
          <w:tcPr>
            <w:tcW w:w="5250" w:type="dxa"/>
          </w:tcPr>
          <w:p w14:paraId="5E95150A" w14:textId="77777777" w:rsidR="001B30F1" w:rsidRDefault="001B30F1" w:rsidP="00A4095B">
            <w:pPr>
              <w:rPr>
                <w:rFonts w:cs="Arial"/>
                <w:szCs w:val="20"/>
              </w:rPr>
            </w:pPr>
            <w:r w:rsidRPr="00D5442D">
              <w:rPr>
                <w:rFonts w:cs="Arial"/>
                <w:szCs w:val="20"/>
              </w:rPr>
              <w:t xml:space="preserve"> </w:t>
            </w:r>
            <w:r>
              <w:rPr>
                <w:rFonts w:cs="Arial"/>
                <w:szCs w:val="20"/>
              </w:rPr>
              <w:t>As the building is considered vulnerable to arson the intruder alarm and CCTV should be reinstated to reduce the risk.</w:t>
            </w:r>
          </w:p>
          <w:p w14:paraId="18550E1B" w14:textId="77777777" w:rsidR="001B30F1" w:rsidRPr="005B4C51" w:rsidRDefault="001B30F1" w:rsidP="00A4095B">
            <w:pPr>
              <w:rPr>
                <w:rFonts w:cs="Arial"/>
                <w:szCs w:val="20"/>
              </w:rPr>
            </w:pPr>
          </w:p>
        </w:tc>
        <w:tc>
          <w:tcPr>
            <w:tcW w:w="1345" w:type="dxa"/>
          </w:tcPr>
          <w:p w14:paraId="120AE3C0" w14:textId="77777777" w:rsidR="001B30F1" w:rsidRDefault="001B30F1" w:rsidP="00A4095B">
            <w:pPr>
              <w:rPr>
                <w:szCs w:val="20"/>
              </w:rPr>
            </w:pPr>
            <w:r>
              <w:rPr>
                <w:szCs w:val="20"/>
              </w:rPr>
              <w:t>Advice only</w:t>
            </w:r>
          </w:p>
        </w:tc>
        <w:tc>
          <w:tcPr>
            <w:tcW w:w="1233" w:type="dxa"/>
          </w:tcPr>
          <w:p w14:paraId="46CFEA3B" w14:textId="77777777" w:rsidR="001B30F1" w:rsidRPr="00AB160F" w:rsidRDefault="001B30F1" w:rsidP="00A4095B">
            <w:pPr>
              <w:rPr>
                <w:szCs w:val="20"/>
              </w:rPr>
            </w:pPr>
          </w:p>
        </w:tc>
        <w:tc>
          <w:tcPr>
            <w:tcW w:w="993" w:type="dxa"/>
          </w:tcPr>
          <w:p w14:paraId="3159BD17" w14:textId="77777777" w:rsidR="001B30F1" w:rsidRDefault="001B30F1" w:rsidP="00A4095B"/>
        </w:tc>
      </w:tr>
      <w:tr w:rsidR="001B30F1" w14:paraId="5FC90C91" w14:textId="77777777" w:rsidTr="00A4095B">
        <w:trPr>
          <w:trHeight w:val="387"/>
        </w:trPr>
        <w:tc>
          <w:tcPr>
            <w:tcW w:w="1386" w:type="dxa"/>
          </w:tcPr>
          <w:p w14:paraId="5BDF2C83" w14:textId="77777777" w:rsidR="001B30F1" w:rsidRDefault="001B30F1" w:rsidP="00A4095B">
            <w:pPr>
              <w:rPr>
                <w:szCs w:val="20"/>
              </w:rPr>
            </w:pPr>
            <w:r>
              <w:rPr>
                <w:szCs w:val="20"/>
              </w:rPr>
              <w:t>10.3</w:t>
            </w:r>
          </w:p>
        </w:tc>
        <w:tc>
          <w:tcPr>
            <w:tcW w:w="5250" w:type="dxa"/>
          </w:tcPr>
          <w:p w14:paraId="1BBB7688" w14:textId="77777777" w:rsidR="001B30F1" w:rsidRDefault="001B30F1" w:rsidP="00A4095B">
            <w:pPr>
              <w:rPr>
                <w:rFonts w:cs="Arial"/>
                <w:szCs w:val="20"/>
              </w:rPr>
            </w:pPr>
            <w:r>
              <w:rPr>
                <w:rFonts w:cs="Arial"/>
                <w:szCs w:val="20"/>
              </w:rPr>
              <w:t>Combustible items should not be placed on top of the heater guards in the nursery. Suitable signage should be provided to remind nursery management.</w:t>
            </w:r>
          </w:p>
          <w:p w14:paraId="01BF0A30" w14:textId="77777777" w:rsidR="001B30F1" w:rsidRPr="00D5442D" w:rsidRDefault="001B30F1" w:rsidP="00A4095B">
            <w:pPr>
              <w:rPr>
                <w:rFonts w:cs="Arial"/>
                <w:szCs w:val="20"/>
              </w:rPr>
            </w:pPr>
          </w:p>
        </w:tc>
        <w:tc>
          <w:tcPr>
            <w:tcW w:w="1345" w:type="dxa"/>
          </w:tcPr>
          <w:p w14:paraId="18F6918E" w14:textId="77777777" w:rsidR="001B30F1" w:rsidRDefault="001B30F1" w:rsidP="00A4095B">
            <w:pPr>
              <w:rPr>
                <w:szCs w:val="20"/>
              </w:rPr>
            </w:pPr>
          </w:p>
          <w:p w14:paraId="463ABE51" w14:textId="77777777" w:rsidR="001B30F1" w:rsidRDefault="001B30F1" w:rsidP="00A4095B">
            <w:pPr>
              <w:rPr>
                <w:szCs w:val="20"/>
              </w:rPr>
            </w:pPr>
            <w:r>
              <w:rPr>
                <w:szCs w:val="20"/>
              </w:rPr>
              <w:t>Substantial</w:t>
            </w:r>
          </w:p>
        </w:tc>
        <w:tc>
          <w:tcPr>
            <w:tcW w:w="1233" w:type="dxa"/>
          </w:tcPr>
          <w:p w14:paraId="56A41014" w14:textId="77777777" w:rsidR="001B30F1" w:rsidRPr="00AB160F" w:rsidRDefault="001B30F1" w:rsidP="00A4095B">
            <w:pPr>
              <w:rPr>
                <w:szCs w:val="20"/>
              </w:rPr>
            </w:pPr>
          </w:p>
        </w:tc>
        <w:tc>
          <w:tcPr>
            <w:tcW w:w="993" w:type="dxa"/>
          </w:tcPr>
          <w:p w14:paraId="6F09A342" w14:textId="77777777" w:rsidR="001B30F1" w:rsidRDefault="001B30F1" w:rsidP="00A4095B"/>
        </w:tc>
      </w:tr>
      <w:tr w:rsidR="001B30F1" w14:paraId="0CE4C20C" w14:textId="77777777" w:rsidTr="00A4095B">
        <w:trPr>
          <w:trHeight w:val="387"/>
        </w:trPr>
        <w:tc>
          <w:tcPr>
            <w:tcW w:w="1386" w:type="dxa"/>
          </w:tcPr>
          <w:p w14:paraId="3EF3FE9A" w14:textId="77777777" w:rsidR="001B30F1" w:rsidRDefault="001B30F1" w:rsidP="00A4095B">
            <w:pPr>
              <w:rPr>
                <w:szCs w:val="20"/>
              </w:rPr>
            </w:pPr>
            <w:r>
              <w:rPr>
                <w:szCs w:val="20"/>
              </w:rPr>
              <w:t>17.12</w:t>
            </w:r>
          </w:p>
        </w:tc>
        <w:tc>
          <w:tcPr>
            <w:tcW w:w="5250" w:type="dxa"/>
          </w:tcPr>
          <w:p w14:paraId="317B3150" w14:textId="77777777" w:rsidR="001B30F1" w:rsidRDefault="001B30F1" w:rsidP="00A4095B">
            <w:r>
              <w:t>The rear Fire Exit from the social area should be maintained clear of obstructions at all times, see photograph 3.</w:t>
            </w:r>
          </w:p>
          <w:p w14:paraId="5E1F9BF5" w14:textId="77777777" w:rsidR="001B30F1" w:rsidRPr="00A33D6F" w:rsidRDefault="001B30F1" w:rsidP="00A4095B"/>
        </w:tc>
        <w:tc>
          <w:tcPr>
            <w:tcW w:w="1345" w:type="dxa"/>
          </w:tcPr>
          <w:p w14:paraId="7DAEF44B" w14:textId="77777777" w:rsidR="001B30F1" w:rsidRDefault="001B30F1" w:rsidP="00A4095B">
            <w:pPr>
              <w:rPr>
                <w:szCs w:val="20"/>
              </w:rPr>
            </w:pPr>
            <w:r>
              <w:rPr>
                <w:szCs w:val="20"/>
              </w:rPr>
              <w:t>Substantial</w:t>
            </w:r>
          </w:p>
        </w:tc>
        <w:tc>
          <w:tcPr>
            <w:tcW w:w="1233" w:type="dxa"/>
          </w:tcPr>
          <w:p w14:paraId="3BDEEFD6" w14:textId="77777777" w:rsidR="001B30F1" w:rsidRPr="00AB160F" w:rsidRDefault="001B30F1" w:rsidP="00A4095B">
            <w:pPr>
              <w:rPr>
                <w:szCs w:val="20"/>
              </w:rPr>
            </w:pPr>
          </w:p>
        </w:tc>
        <w:tc>
          <w:tcPr>
            <w:tcW w:w="993" w:type="dxa"/>
          </w:tcPr>
          <w:p w14:paraId="72A3B1B1" w14:textId="77777777" w:rsidR="001B30F1" w:rsidRDefault="001B30F1" w:rsidP="00A4095B"/>
        </w:tc>
      </w:tr>
      <w:tr w:rsidR="001B30F1" w14:paraId="3FCF20F9" w14:textId="77777777" w:rsidTr="00A4095B">
        <w:trPr>
          <w:trHeight w:val="387"/>
        </w:trPr>
        <w:tc>
          <w:tcPr>
            <w:tcW w:w="1386" w:type="dxa"/>
          </w:tcPr>
          <w:p w14:paraId="3EF50BD1" w14:textId="77777777" w:rsidR="001B30F1" w:rsidRDefault="001B30F1" w:rsidP="00A4095B">
            <w:pPr>
              <w:rPr>
                <w:szCs w:val="20"/>
              </w:rPr>
            </w:pPr>
            <w:r>
              <w:rPr>
                <w:szCs w:val="20"/>
              </w:rPr>
              <w:t>17.15</w:t>
            </w:r>
          </w:p>
          <w:p w14:paraId="59D33960" w14:textId="77777777" w:rsidR="001B30F1" w:rsidRDefault="001B30F1" w:rsidP="00A4095B">
            <w:pPr>
              <w:rPr>
                <w:szCs w:val="20"/>
              </w:rPr>
            </w:pPr>
          </w:p>
          <w:p w14:paraId="174CF9A9" w14:textId="77777777" w:rsidR="001B30F1" w:rsidRPr="00AB160F" w:rsidRDefault="001B30F1" w:rsidP="00A4095B">
            <w:pPr>
              <w:rPr>
                <w:szCs w:val="20"/>
              </w:rPr>
            </w:pPr>
          </w:p>
        </w:tc>
        <w:tc>
          <w:tcPr>
            <w:tcW w:w="5250" w:type="dxa"/>
          </w:tcPr>
          <w:p w14:paraId="7F127D71" w14:textId="77777777" w:rsidR="001B30F1" w:rsidRDefault="001B30F1" w:rsidP="00A4095B">
            <w:pPr>
              <w:pStyle w:val="Default"/>
              <w:rPr>
                <w:sz w:val="20"/>
                <w:szCs w:val="20"/>
              </w:rPr>
            </w:pPr>
            <w:r>
              <w:rPr>
                <w:sz w:val="20"/>
                <w:szCs w:val="20"/>
              </w:rPr>
              <w:t>The detached intumescent strip and cold smoke seal on the compartment fire door should be reinstated or replaced, see photograph 4.</w:t>
            </w:r>
          </w:p>
          <w:p w14:paraId="036348F9" w14:textId="77777777" w:rsidR="001B30F1" w:rsidRDefault="001B30F1" w:rsidP="00A4095B">
            <w:pPr>
              <w:pStyle w:val="Default"/>
              <w:rPr>
                <w:sz w:val="20"/>
                <w:szCs w:val="20"/>
              </w:rPr>
            </w:pPr>
          </w:p>
          <w:p w14:paraId="12F321BF" w14:textId="77777777" w:rsidR="001B30F1" w:rsidRDefault="001B30F1" w:rsidP="00A4095B">
            <w:pPr>
              <w:pStyle w:val="Default"/>
              <w:rPr>
                <w:sz w:val="20"/>
                <w:szCs w:val="20"/>
              </w:rPr>
            </w:pPr>
            <w:r>
              <w:rPr>
                <w:sz w:val="20"/>
                <w:szCs w:val="20"/>
              </w:rPr>
              <w:t xml:space="preserve">The new compartment fire doors to the new kitchen, utility room and changing rooms should be maintained </w:t>
            </w:r>
            <w:proofErr w:type="spellStart"/>
            <w:r>
              <w:rPr>
                <w:sz w:val="20"/>
                <w:szCs w:val="20"/>
              </w:rPr>
              <w:t>self closing</w:t>
            </w:r>
            <w:proofErr w:type="spellEnd"/>
            <w:r>
              <w:rPr>
                <w:sz w:val="20"/>
                <w:szCs w:val="20"/>
              </w:rPr>
              <w:t xml:space="preserve"> and fitted with intumescent strips and cold smoke seals for effective compartmentation, property protection and business continuity.</w:t>
            </w:r>
          </w:p>
          <w:p w14:paraId="14625316" w14:textId="77777777" w:rsidR="001B30F1" w:rsidRPr="009616DE" w:rsidRDefault="001B30F1" w:rsidP="00A4095B">
            <w:pPr>
              <w:pStyle w:val="Default"/>
              <w:rPr>
                <w:sz w:val="20"/>
                <w:szCs w:val="20"/>
              </w:rPr>
            </w:pPr>
          </w:p>
        </w:tc>
        <w:tc>
          <w:tcPr>
            <w:tcW w:w="1345" w:type="dxa"/>
          </w:tcPr>
          <w:p w14:paraId="1B1A3D66" w14:textId="77777777" w:rsidR="001B30F1" w:rsidRDefault="001B30F1" w:rsidP="00A4095B">
            <w:pPr>
              <w:rPr>
                <w:szCs w:val="20"/>
              </w:rPr>
            </w:pPr>
            <w:r>
              <w:rPr>
                <w:szCs w:val="20"/>
              </w:rPr>
              <w:t>Substantial</w:t>
            </w:r>
          </w:p>
          <w:p w14:paraId="58B233B1" w14:textId="77777777" w:rsidR="001B30F1" w:rsidRDefault="001B30F1" w:rsidP="00A4095B">
            <w:pPr>
              <w:rPr>
                <w:szCs w:val="20"/>
              </w:rPr>
            </w:pPr>
          </w:p>
          <w:p w14:paraId="4775EBA3" w14:textId="77777777" w:rsidR="001B30F1" w:rsidRDefault="001B30F1" w:rsidP="00A4095B">
            <w:pPr>
              <w:rPr>
                <w:szCs w:val="20"/>
              </w:rPr>
            </w:pPr>
          </w:p>
          <w:p w14:paraId="11DD99FE" w14:textId="77777777" w:rsidR="001B30F1" w:rsidRDefault="001B30F1" w:rsidP="00A4095B">
            <w:pPr>
              <w:rPr>
                <w:szCs w:val="20"/>
              </w:rPr>
            </w:pPr>
          </w:p>
          <w:p w14:paraId="7D696D93" w14:textId="77777777" w:rsidR="001B30F1" w:rsidRDefault="001B30F1" w:rsidP="00A4095B">
            <w:pPr>
              <w:rPr>
                <w:szCs w:val="20"/>
              </w:rPr>
            </w:pPr>
          </w:p>
          <w:p w14:paraId="509DAB78" w14:textId="77777777" w:rsidR="001B30F1" w:rsidRDefault="001B30F1" w:rsidP="00A4095B">
            <w:pPr>
              <w:rPr>
                <w:szCs w:val="20"/>
              </w:rPr>
            </w:pPr>
            <w:r>
              <w:rPr>
                <w:szCs w:val="20"/>
              </w:rPr>
              <w:t>Moderate</w:t>
            </w:r>
          </w:p>
          <w:p w14:paraId="4BC7F93A" w14:textId="77777777" w:rsidR="001B30F1" w:rsidRDefault="001B30F1" w:rsidP="00A4095B">
            <w:pPr>
              <w:rPr>
                <w:szCs w:val="20"/>
              </w:rPr>
            </w:pPr>
          </w:p>
          <w:p w14:paraId="51B10FB8" w14:textId="77777777" w:rsidR="001B30F1" w:rsidRDefault="001B30F1" w:rsidP="00A4095B">
            <w:pPr>
              <w:rPr>
                <w:szCs w:val="20"/>
              </w:rPr>
            </w:pPr>
          </w:p>
          <w:p w14:paraId="10B4E408" w14:textId="77777777" w:rsidR="001B30F1" w:rsidRDefault="001B30F1" w:rsidP="00A4095B">
            <w:pPr>
              <w:rPr>
                <w:szCs w:val="20"/>
              </w:rPr>
            </w:pPr>
          </w:p>
          <w:p w14:paraId="069CC6C0" w14:textId="77777777" w:rsidR="001B30F1" w:rsidRPr="00AB160F" w:rsidRDefault="001B30F1" w:rsidP="00A4095B">
            <w:pPr>
              <w:rPr>
                <w:szCs w:val="20"/>
              </w:rPr>
            </w:pPr>
          </w:p>
        </w:tc>
        <w:tc>
          <w:tcPr>
            <w:tcW w:w="1233" w:type="dxa"/>
          </w:tcPr>
          <w:p w14:paraId="47815DEF" w14:textId="77777777" w:rsidR="001B30F1" w:rsidRPr="00AB160F" w:rsidRDefault="001B30F1" w:rsidP="00A4095B">
            <w:pPr>
              <w:rPr>
                <w:szCs w:val="20"/>
              </w:rPr>
            </w:pPr>
          </w:p>
        </w:tc>
        <w:tc>
          <w:tcPr>
            <w:tcW w:w="993" w:type="dxa"/>
          </w:tcPr>
          <w:p w14:paraId="48FD7DC7" w14:textId="77777777" w:rsidR="001B30F1" w:rsidRDefault="001B30F1" w:rsidP="00A4095B"/>
        </w:tc>
      </w:tr>
      <w:tr w:rsidR="001B30F1" w14:paraId="541F210B" w14:textId="77777777" w:rsidTr="00A4095B">
        <w:trPr>
          <w:trHeight w:val="387"/>
        </w:trPr>
        <w:tc>
          <w:tcPr>
            <w:tcW w:w="1386" w:type="dxa"/>
          </w:tcPr>
          <w:p w14:paraId="0830B698" w14:textId="77777777" w:rsidR="001B30F1" w:rsidRDefault="001B30F1" w:rsidP="00A4095B">
            <w:pPr>
              <w:rPr>
                <w:szCs w:val="20"/>
              </w:rPr>
            </w:pPr>
            <w:r>
              <w:rPr>
                <w:szCs w:val="20"/>
              </w:rPr>
              <w:t>17.18</w:t>
            </w:r>
          </w:p>
        </w:tc>
        <w:tc>
          <w:tcPr>
            <w:tcW w:w="5250" w:type="dxa"/>
          </w:tcPr>
          <w:p w14:paraId="4FD9994B" w14:textId="77777777" w:rsidR="001B30F1" w:rsidRDefault="001B30F1" w:rsidP="00A4095B">
            <w:pPr>
              <w:pStyle w:val="Default"/>
              <w:rPr>
                <w:sz w:val="20"/>
                <w:szCs w:val="20"/>
              </w:rPr>
            </w:pPr>
            <w:r>
              <w:rPr>
                <w:sz w:val="20"/>
                <w:szCs w:val="20"/>
              </w:rPr>
              <w:t>The excessive movement to the floor immediately before the main entrance required for means of escape, see photograph 5, should be investigated, and repaired.</w:t>
            </w:r>
          </w:p>
          <w:p w14:paraId="69DAB54D" w14:textId="77777777" w:rsidR="001B30F1" w:rsidRDefault="001B30F1" w:rsidP="00A4095B">
            <w:pPr>
              <w:pStyle w:val="Default"/>
              <w:rPr>
                <w:sz w:val="20"/>
                <w:szCs w:val="20"/>
              </w:rPr>
            </w:pPr>
          </w:p>
        </w:tc>
        <w:tc>
          <w:tcPr>
            <w:tcW w:w="1345" w:type="dxa"/>
          </w:tcPr>
          <w:p w14:paraId="066A29C3" w14:textId="77777777" w:rsidR="001B30F1" w:rsidRDefault="001B30F1" w:rsidP="00A4095B">
            <w:pPr>
              <w:rPr>
                <w:szCs w:val="20"/>
              </w:rPr>
            </w:pPr>
            <w:r>
              <w:rPr>
                <w:szCs w:val="20"/>
              </w:rPr>
              <w:t>Substantial</w:t>
            </w:r>
          </w:p>
        </w:tc>
        <w:tc>
          <w:tcPr>
            <w:tcW w:w="1233" w:type="dxa"/>
          </w:tcPr>
          <w:p w14:paraId="31D0C8B3" w14:textId="77777777" w:rsidR="001B30F1" w:rsidRPr="00AB160F" w:rsidRDefault="001B30F1" w:rsidP="00A4095B">
            <w:pPr>
              <w:rPr>
                <w:szCs w:val="20"/>
              </w:rPr>
            </w:pPr>
          </w:p>
        </w:tc>
        <w:tc>
          <w:tcPr>
            <w:tcW w:w="993" w:type="dxa"/>
          </w:tcPr>
          <w:p w14:paraId="31B050F9" w14:textId="77777777" w:rsidR="001B30F1" w:rsidRDefault="001B30F1" w:rsidP="00A4095B"/>
        </w:tc>
      </w:tr>
      <w:tr w:rsidR="001B30F1" w14:paraId="17F3438F" w14:textId="77777777" w:rsidTr="00A4095B">
        <w:trPr>
          <w:trHeight w:val="387"/>
        </w:trPr>
        <w:tc>
          <w:tcPr>
            <w:tcW w:w="1386" w:type="dxa"/>
          </w:tcPr>
          <w:p w14:paraId="494392DD" w14:textId="77777777" w:rsidR="001B30F1" w:rsidRDefault="001B30F1" w:rsidP="00A4095B">
            <w:pPr>
              <w:rPr>
                <w:szCs w:val="20"/>
              </w:rPr>
            </w:pPr>
            <w:r>
              <w:rPr>
                <w:szCs w:val="20"/>
              </w:rPr>
              <w:t>19.1</w:t>
            </w:r>
          </w:p>
          <w:p w14:paraId="40660964" w14:textId="77777777" w:rsidR="001B30F1" w:rsidRPr="00FD6509" w:rsidRDefault="001B30F1" w:rsidP="00A4095B">
            <w:pPr>
              <w:rPr>
                <w:szCs w:val="20"/>
              </w:rPr>
            </w:pPr>
          </w:p>
          <w:p w14:paraId="25832AC1" w14:textId="77777777" w:rsidR="001B30F1" w:rsidRPr="00FD6509" w:rsidRDefault="001B30F1" w:rsidP="00A4095B">
            <w:pPr>
              <w:rPr>
                <w:szCs w:val="20"/>
              </w:rPr>
            </w:pPr>
          </w:p>
        </w:tc>
        <w:tc>
          <w:tcPr>
            <w:tcW w:w="5250" w:type="dxa"/>
          </w:tcPr>
          <w:p w14:paraId="340BF765" w14:textId="77777777" w:rsidR="001B30F1" w:rsidRDefault="001B30F1" w:rsidP="00A4095B">
            <w:pPr>
              <w:pStyle w:val="BodyText"/>
              <w:rPr>
                <w:rFonts w:ascii="Verdana" w:hAnsi="Verdana" w:cs="Arial"/>
                <w:szCs w:val="24"/>
              </w:rPr>
            </w:pPr>
            <w:r w:rsidRPr="001C5367">
              <w:rPr>
                <w:rFonts w:ascii="Verdana" w:hAnsi="Verdana"/>
              </w:rPr>
              <w:t xml:space="preserve">It </w:t>
            </w:r>
            <w:r w:rsidRPr="001C5367">
              <w:rPr>
                <w:rFonts w:ascii="Verdana" w:hAnsi="Verdana" w:cs="Arial"/>
              </w:rPr>
              <w:t>is strongly recommended that a check is made after dark on all parts of the premises in order to ascertain how much light would be available in the event of a failure of the power supplies. Where it is apparent that there is a lack of illumination would endanger persons attempting to leave the premises in the event of a fire then an emergency lighting system should be installed which will as a minimum illuminate the fire exits and exit routes</w:t>
            </w:r>
            <w:r>
              <w:rPr>
                <w:rFonts w:ascii="Verdana" w:hAnsi="Verdana" w:cs="Arial"/>
              </w:rPr>
              <w:t xml:space="preserve"> and external areas</w:t>
            </w:r>
            <w:r w:rsidRPr="001C5367">
              <w:rPr>
                <w:rFonts w:ascii="Verdana" w:hAnsi="Verdana" w:cs="Arial"/>
                <w:szCs w:val="24"/>
              </w:rPr>
              <w:t xml:space="preserve"> which, would conform to the requirements of the current British Standard 5266: Part 1.</w:t>
            </w:r>
          </w:p>
          <w:p w14:paraId="4A1EA9E5" w14:textId="77777777" w:rsidR="001B30F1" w:rsidRDefault="001B30F1" w:rsidP="00A4095B">
            <w:pPr>
              <w:pStyle w:val="BodyText"/>
              <w:rPr>
                <w:rFonts w:ascii="Verdana" w:hAnsi="Verdana" w:cs="Arial"/>
                <w:szCs w:val="24"/>
              </w:rPr>
            </w:pPr>
            <w:r>
              <w:rPr>
                <w:rFonts w:ascii="Verdana" w:hAnsi="Verdana" w:cs="Arial"/>
                <w:szCs w:val="24"/>
              </w:rPr>
              <w:t>Particular attention should be given to the changing room corridor, external areas, social area and lobby.</w:t>
            </w:r>
          </w:p>
          <w:p w14:paraId="1568859E" w14:textId="77777777" w:rsidR="001B30F1" w:rsidRPr="00B63B95" w:rsidRDefault="001B30F1" w:rsidP="00A4095B">
            <w:pPr>
              <w:pStyle w:val="BodyText"/>
              <w:rPr>
                <w:rFonts w:ascii="Verdana" w:hAnsi="Verdana" w:cs="Arial"/>
                <w:szCs w:val="24"/>
              </w:rPr>
            </w:pPr>
          </w:p>
        </w:tc>
        <w:tc>
          <w:tcPr>
            <w:tcW w:w="1345" w:type="dxa"/>
          </w:tcPr>
          <w:p w14:paraId="65DAC68D" w14:textId="77777777" w:rsidR="001B30F1" w:rsidRDefault="001B30F1" w:rsidP="00A4095B">
            <w:pPr>
              <w:rPr>
                <w:szCs w:val="20"/>
              </w:rPr>
            </w:pPr>
            <w:r>
              <w:rPr>
                <w:szCs w:val="20"/>
              </w:rPr>
              <w:t>Substantial</w:t>
            </w:r>
          </w:p>
          <w:p w14:paraId="15000C5B" w14:textId="77777777" w:rsidR="001B30F1" w:rsidRDefault="001B30F1" w:rsidP="00A4095B">
            <w:pPr>
              <w:rPr>
                <w:szCs w:val="20"/>
              </w:rPr>
            </w:pPr>
          </w:p>
          <w:p w14:paraId="3DE6BF93" w14:textId="77777777" w:rsidR="001B30F1" w:rsidRPr="00AB160F" w:rsidRDefault="001B30F1" w:rsidP="00A4095B">
            <w:pPr>
              <w:rPr>
                <w:szCs w:val="20"/>
              </w:rPr>
            </w:pPr>
          </w:p>
        </w:tc>
        <w:tc>
          <w:tcPr>
            <w:tcW w:w="1233" w:type="dxa"/>
          </w:tcPr>
          <w:p w14:paraId="58502CF0" w14:textId="77777777" w:rsidR="001B30F1" w:rsidRPr="00AB160F" w:rsidRDefault="001B30F1" w:rsidP="00A4095B">
            <w:pPr>
              <w:rPr>
                <w:szCs w:val="20"/>
              </w:rPr>
            </w:pPr>
          </w:p>
        </w:tc>
        <w:tc>
          <w:tcPr>
            <w:tcW w:w="993" w:type="dxa"/>
          </w:tcPr>
          <w:p w14:paraId="16D8D86B" w14:textId="77777777" w:rsidR="001B30F1" w:rsidRDefault="001B30F1" w:rsidP="00A4095B"/>
        </w:tc>
      </w:tr>
      <w:tr w:rsidR="001B30F1" w14:paraId="0465D8BB" w14:textId="77777777" w:rsidTr="00A4095B">
        <w:trPr>
          <w:trHeight w:val="387"/>
        </w:trPr>
        <w:tc>
          <w:tcPr>
            <w:tcW w:w="1386" w:type="dxa"/>
          </w:tcPr>
          <w:p w14:paraId="6A7391C0" w14:textId="77777777" w:rsidR="001B30F1" w:rsidRDefault="001B30F1" w:rsidP="00A4095B">
            <w:pPr>
              <w:rPr>
                <w:szCs w:val="20"/>
              </w:rPr>
            </w:pPr>
            <w:r>
              <w:rPr>
                <w:szCs w:val="20"/>
              </w:rPr>
              <w:t>19.2</w:t>
            </w:r>
          </w:p>
        </w:tc>
        <w:tc>
          <w:tcPr>
            <w:tcW w:w="5250" w:type="dxa"/>
          </w:tcPr>
          <w:p w14:paraId="6EAB538E" w14:textId="77777777" w:rsidR="001B30F1" w:rsidRPr="00BB3833" w:rsidRDefault="001B30F1" w:rsidP="00A4095B">
            <w:pPr>
              <w:pStyle w:val="BodyText"/>
              <w:rPr>
                <w:rFonts w:ascii="Verdana" w:hAnsi="Verdana" w:cs="Arial"/>
              </w:rPr>
            </w:pPr>
            <w:r w:rsidRPr="00BB3833">
              <w:rPr>
                <w:rFonts w:ascii="Verdana" w:hAnsi="Verdana" w:cs="Arial"/>
              </w:rPr>
              <w:t xml:space="preserve">It is recommended that a servicing contract should be established with a competent contractor if not already in place, who will maintain and test the </w:t>
            </w:r>
            <w:r>
              <w:rPr>
                <w:rFonts w:ascii="Verdana" w:hAnsi="Verdana" w:cs="Arial"/>
              </w:rPr>
              <w:t xml:space="preserve">existing </w:t>
            </w:r>
            <w:r w:rsidRPr="00BB3833">
              <w:rPr>
                <w:rFonts w:ascii="Verdana" w:hAnsi="Verdana" w:cs="Arial"/>
              </w:rPr>
              <w:t xml:space="preserve">emergency lighting system in accordance with the recommendations of the current British Standard 5266: Part 8 and be available to carry out repairs as necessary. </w:t>
            </w:r>
          </w:p>
          <w:p w14:paraId="3DB16280" w14:textId="77777777" w:rsidR="001B30F1" w:rsidRPr="0011198A" w:rsidRDefault="001B30F1" w:rsidP="00A4095B">
            <w:pPr>
              <w:pStyle w:val="BodyText"/>
              <w:rPr>
                <w:rFonts w:ascii="Verdana" w:hAnsi="Verdana" w:cs="Arial"/>
              </w:rPr>
            </w:pPr>
            <w:r w:rsidRPr="0011198A">
              <w:rPr>
                <w:rFonts w:ascii="Verdana" w:hAnsi="Verdana" w:cs="Arial"/>
              </w:rPr>
              <w:lastRenderedPageBreak/>
              <w:t xml:space="preserve">An emergency lighting system that is not serviced, tested nor maintained in accordance with the recommendations of the current British Standard may be deemed to be ‘non-compliant’ and may constitute an offence under the Regulatory Reform (Fire Safety) Order (Article 17 Maintenance).  </w:t>
            </w:r>
          </w:p>
          <w:p w14:paraId="591CA256" w14:textId="77777777" w:rsidR="001B30F1" w:rsidRPr="001C5367" w:rsidRDefault="001B30F1" w:rsidP="00A4095B">
            <w:pPr>
              <w:pStyle w:val="BodyText"/>
              <w:rPr>
                <w:rFonts w:ascii="Verdana" w:hAnsi="Verdana"/>
              </w:rPr>
            </w:pPr>
          </w:p>
        </w:tc>
        <w:tc>
          <w:tcPr>
            <w:tcW w:w="1345" w:type="dxa"/>
          </w:tcPr>
          <w:p w14:paraId="3A8CB547" w14:textId="77777777" w:rsidR="001B30F1" w:rsidRDefault="001B30F1" w:rsidP="00A4095B">
            <w:pPr>
              <w:rPr>
                <w:szCs w:val="20"/>
              </w:rPr>
            </w:pPr>
            <w:r>
              <w:rPr>
                <w:szCs w:val="20"/>
              </w:rPr>
              <w:lastRenderedPageBreak/>
              <w:t>Substantial</w:t>
            </w:r>
          </w:p>
        </w:tc>
        <w:tc>
          <w:tcPr>
            <w:tcW w:w="1233" w:type="dxa"/>
          </w:tcPr>
          <w:p w14:paraId="43133E2F" w14:textId="77777777" w:rsidR="001B30F1" w:rsidRPr="00AB160F" w:rsidRDefault="001B30F1" w:rsidP="00A4095B">
            <w:pPr>
              <w:rPr>
                <w:szCs w:val="20"/>
              </w:rPr>
            </w:pPr>
          </w:p>
        </w:tc>
        <w:tc>
          <w:tcPr>
            <w:tcW w:w="993" w:type="dxa"/>
          </w:tcPr>
          <w:p w14:paraId="54455F4C" w14:textId="77777777" w:rsidR="001B30F1" w:rsidRDefault="001B30F1" w:rsidP="00A4095B"/>
        </w:tc>
      </w:tr>
      <w:tr w:rsidR="001B30F1" w14:paraId="17499E05" w14:textId="77777777" w:rsidTr="00A4095B">
        <w:trPr>
          <w:trHeight w:val="387"/>
        </w:trPr>
        <w:tc>
          <w:tcPr>
            <w:tcW w:w="1386" w:type="dxa"/>
          </w:tcPr>
          <w:p w14:paraId="5238238C" w14:textId="77777777" w:rsidR="001B30F1" w:rsidRPr="00AB160F" w:rsidRDefault="001B30F1" w:rsidP="00A4095B">
            <w:pPr>
              <w:rPr>
                <w:szCs w:val="20"/>
              </w:rPr>
            </w:pPr>
            <w:r>
              <w:rPr>
                <w:szCs w:val="20"/>
              </w:rPr>
              <w:t>20.1</w:t>
            </w:r>
          </w:p>
        </w:tc>
        <w:tc>
          <w:tcPr>
            <w:tcW w:w="5250" w:type="dxa"/>
          </w:tcPr>
          <w:p w14:paraId="4EB892BE" w14:textId="77777777" w:rsidR="001B30F1" w:rsidRDefault="001B30F1" w:rsidP="00A4095B">
            <w:pPr>
              <w:tabs>
                <w:tab w:val="left" w:pos="360"/>
              </w:tabs>
              <w:rPr>
                <w:rFonts w:cs="Arial"/>
                <w:lang w:eastAsia="en-US"/>
              </w:rPr>
            </w:pPr>
            <w:r w:rsidRPr="0022311D">
              <w:rPr>
                <w:rFonts w:cs="Arial"/>
                <w:noProof/>
                <w:lang w:val="en-US"/>
              </w:rPr>
              <w:t xml:space="preserve">Additional </w:t>
            </w:r>
            <w:r>
              <w:rPr>
                <w:rFonts w:cs="Arial"/>
                <w:noProof/>
                <w:lang w:val="en-US"/>
              </w:rPr>
              <w:t xml:space="preserve">Directional </w:t>
            </w:r>
            <w:r w:rsidRPr="0022311D">
              <w:rPr>
                <w:rFonts w:cs="Arial"/>
                <w:noProof/>
                <w:lang w:val="en-US"/>
              </w:rPr>
              <w:t>‘Fire Exit’ signage complying with with the current British Standard BS 5499 and British Standard BS</w:t>
            </w:r>
            <w:r w:rsidRPr="0022311D">
              <w:rPr>
                <w:rFonts w:cs="Arial"/>
                <w:lang w:eastAsia="en-US"/>
              </w:rPr>
              <w:t xml:space="preserve"> EN ISO 7010 should be provided </w:t>
            </w:r>
            <w:r>
              <w:rPr>
                <w:rFonts w:cs="Arial"/>
                <w:lang w:eastAsia="en-US"/>
              </w:rPr>
              <w:t>above the door to the corridor changing room, see photograph 6.</w:t>
            </w:r>
          </w:p>
          <w:p w14:paraId="19E2578C" w14:textId="77777777" w:rsidR="001B30F1" w:rsidRDefault="001B30F1" w:rsidP="00A4095B">
            <w:pPr>
              <w:tabs>
                <w:tab w:val="left" w:pos="360"/>
              </w:tabs>
              <w:rPr>
                <w:szCs w:val="20"/>
              </w:rPr>
            </w:pPr>
          </w:p>
          <w:p w14:paraId="1B454524" w14:textId="77777777" w:rsidR="001B30F1" w:rsidRPr="00B63B95" w:rsidRDefault="001B30F1" w:rsidP="00A4095B">
            <w:pPr>
              <w:rPr>
                <w:szCs w:val="20"/>
              </w:rPr>
            </w:pPr>
            <w:r w:rsidRPr="00B63B95">
              <w:rPr>
                <w:szCs w:val="20"/>
              </w:rPr>
              <w:t>The existing redundant directional Fire Exit signage in the changing room cor</w:t>
            </w:r>
            <w:r>
              <w:rPr>
                <w:szCs w:val="20"/>
              </w:rPr>
              <w:t>ridor should</w:t>
            </w:r>
            <w:r w:rsidRPr="00B63B95">
              <w:rPr>
                <w:szCs w:val="20"/>
              </w:rPr>
              <w:t xml:space="preserve"> be removed, see photograph 7.</w:t>
            </w:r>
          </w:p>
          <w:p w14:paraId="4B7A4128" w14:textId="77777777" w:rsidR="001B30F1" w:rsidRPr="00AB160F" w:rsidRDefault="001B30F1" w:rsidP="00A4095B">
            <w:pPr>
              <w:tabs>
                <w:tab w:val="left" w:pos="360"/>
              </w:tabs>
              <w:rPr>
                <w:szCs w:val="20"/>
              </w:rPr>
            </w:pPr>
          </w:p>
        </w:tc>
        <w:tc>
          <w:tcPr>
            <w:tcW w:w="1345" w:type="dxa"/>
          </w:tcPr>
          <w:p w14:paraId="2C227586" w14:textId="77777777" w:rsidR="001B30F1" w:rsidRDefault="001B30F1" w:rsidP="00A4095B">
            <w:pPr>
              <w:rPr>
                <w:szCs w:val="20"/>
              </w:rPr>
            </w:pPr>
          </w:p>
          <w:p w14:paraId="41034EED" w14:textId="77777777" w:rsidR="001B30F1" w:rsidRDefault="001B30F1" w:rsidP="00A4095B">
            <w:pPr>
              <w:rPr>
                <w:szCs w:val="20"/>
              </w:rPr>
            </w:pPr>
          </w:p>
          <w:p w14:paraId="36F7AB3F" w14:textId="77777777" w:rsidR="001B30F1" w:rsidRDefault="001B30F1" w:rsidP="00A4095B">
            <w:pPr>
              <w:rPr>
                <w:szCs w:val="20"/>
              </w:rPr>
            </w:pPr>
          </w:p>
          <w:p w14:paraId="56715EDC" w14:textId="77777777" w:rsidR="001B30F1" w:rsidRDefault="001B30F1" w:rsidP="00A4095B">
            <w:pPr>
              <w:rPr>
                <w:szCs w:val="20"/>
              </w:rPr>
            </w:pPr>
            <w:r>
              <w:rPr>
                <w:szCs w:val="20"/>
              </w:rPr>
              <w:t>Substantial</w:t>
            </w:r>
          </w:p>
          <w:p w14:paraId="565108FE" w14:textId="77777777" w:rsidR="001B30F1" w:rsidRDefault="001B30F1" w:rsidP="00A4095B">
            <w:pPr>
              <w:rPr>
                <w:szCs w:val="20"/>
              </w:rPr>
            </w:pPr>
          </w:p>
          <w:p w14:paraId="7DD2E7C3" w14:textId="77777777" w:rsidR="001B30F1" w:rsidRDefault="001B30F1" w:rsidP="00A4095B">
            <w:pPr>
              <w:rPr>
                <w:szCs w:val="20"/>
              </w:rPr>
            </w:pPr>
          </w:p>
          <w:p w14:paraId="1F122ED6" w14:textId="77777777" w:rsidR="001B30F1" w:rsidRDefault="001B30F1" w:rsidP="00A4095B">
            <w:pPr>
              <w:rPr>
                <w:szCs w:val="20"/>
              </w:rPr>
            </w:pPr>
          </w:p>
          <w:p w14:paraId="179B791F" w14:textId="77777777" w:rsidR="001B30F1" w:rsidRPr="00AB160F" w:rsidRDefault="001B30F1" w:rsidP="00A4095B">
            <w:pPr>
              <w:rPr>
                <w:szCs w:val="20"/>
              </w:rPr>
            </w:pPr>
            <w:r>
              <w:rPr>
                <w:szCs w:val="20"/>
              </w:rPr>
              <w:t>Substantial</w:t>
            </w:r>
          </w:p>
        </w:tc>
        <w:tc>
          <w:tcPr>
            <w:tcW w:w="1233" w:type="dxa"/>
          </w:tcPr>
          <w:p w14:paraId="428268A3" w14:textId="77777777" w:rsidR="001B30F1" w:rsidRPr="00AB160F" w:rsidRDefault="001B30F1" w:rsidP="00A4095B">
            <w:pPr>
              <w:rPr>
                <w:szCs w:val="20"/>
              </w:rPr>
            </w:pPr>
          </w:p>
        </w:tc>
        <w:tc>
          <w:tcPr>
            <w:tcW w:w="993" w:type="dxa"/>
          </w:tcPr>
          <w:p w14:paraId="1FF50EE8" w14:textId="77777777" w:rsidR="001B30F1" w:rsidRDefault="001B30F1" w:rsidP="00A4095B"/>
        </w:tc>
      </w:tr>
      <w:tr w:rsidR="001B30F1" w14:paraId="2AD312F2" w14:textId="77777777" w:rsidTr="00A4095B">
        <w:trPr>
          <w:trHeight w:val="387"/>
        </w:trPr>
        <w:tc>
          <w:tcPr>
            <w:tcW w:w="1386" w:type="dxa"/>
          </w:tcPr>
          <w:p w14:paraId="7E3FE115" w14:textId="77777777" w:rsidR="001B30F1" w:rsidRDefault="001B30F1" w:rsidP="00A4095B">
            <w:pPr>
              <w:rPr>
                <w:szCs w:val="20"/>
              </w:rPr>
            </w:pPr>
            <w:r>
              <w:rPr>
                <w:szCs w:val="20"/>
              </w:rPr>
              <w:t>20.3</w:t>
            </w:r>
          </w:p>
          <w:p w14:paraId="73AAD677" w14:textId="77777777" w:rsidR="001B30F1" w:rsidRDefault="001B30F1" w:rsidP="00A4095B">
            <w:pPr>
              <w:rPr>
                <w:szCs w:val="20"/>
              </w:rPr>
            </w:pPr>
          </w:p>
        </w:tc>
        <w:tc>
          <w:tcPr>
            <w:tcW w:w="5250" w:type="dxa"/>
          </w:tcPr>
          <w:p w14:paraId="7BF28C89" w14:textId="77777777" w:rsidR="001B30F1" w:rsidRDefault="001B30F1" w:rsidP="00A4095B">
            <w:pPr>
              <w:rPr>
                <w:rFonts w:cs="Arial"/>
                <w:noProof/>
                <w:lang w:val="en-US"/>
              </w:rPr>
            </w:pPr>
            <w:r>
              <w:rPr>
                <w:rFonts w:cs="Arial"/>
                <w:noProof/>
                <w:lang w:val="en-US"/>
              </w:rPr>
              <w:t>Conspicuous p</w:t>
            </w:r>
            <w:r w:rsidRPr="007B648D">
              <w:rPr>
                <w:rFonts w:cs="Arial"/>
                <w:noProof/>
                <w:lang w:val="en-US"/>
              </w:rPr>
              <w:t>rinted FIRE ACTION  notices complying with the current British Standard BS 5499 and British Standard BS</w:t>
            </w:r>
            <w:r w:rsidRPr="007B648D">
              <w:rPr>
                <w:rFonts w:cs="Arial"/>
                <w:lang w:eastAsia="en-US"/>
              </w:rPr>
              <w:t xml:space="preserve"> ISO 7010</w:t>
            </w:r>
            <w:r w:rsidRPr="007B648D">
              <w:rPr>
                <w:rFonts w:cs="Arial"/>
                <w:noProof/>
                <w:lang w:val="en-US"/>
              </w:rPr>
              <w:t xml:space="preserve"> should be displayed at conspicuous positions in the premises. They must state in concise terms the essentials of the action to be taken upon discovering a fire and on hearing the fire alarm. The notices must be permanently fixed in position and be suitably protected to prevent loss or defacement. They should be located in prominent positions such as notice boards, the kitchen, changing rooms, b</w:t>
            </w:r>
            <w:r>
              <w:rPr>
                <w:rFonts w:cs="Arial"/>
                <w:noProof/>
                <w:lang w:val="en-US"/>
              </w:rPr>
              <w:t>ehind the bar, classroom.The notices should be resited in rooms</w:t>
            </w:r>
            <w:r w:rsidRPr="007B648D">
              <w:rPr>
                <w:rFonts w:cs="Arial"/>
                <w:noProof/>
                <w:lang w:val="en-US"/>
              </w:rPr>
              <w:t xml:space="preserve"> immediately adjacent to all fire alarm call points when fitted.</w:t>
            </w:r>
          </w:p>
          <w:p w14:paraId="230666F9" w14:textId="77777777" w:rsidR="001B30F1" w:rsidRDefault="001B30F1" w:rsidP="00A4095B">
            <w:pPr>
              <w:tabs>
                <w:tab w:val="left" w:pos="360"/>
              </w:tabs>
              <w:rPr>
                <w:rFonts w:cs="Arial"/>
                <w:noProof/>
                <w:lang w:val="en-US"/>
              </w:rPr>
            </w:pPr>
          </w:p>
        </w:tc>
        <w:tc>
          <w:tcPr>
            <w:tcW w:w="1345" w:type="dxa"/>
          </w:tcPr>
          <w:p w14:paraId="47A91408" w14:textId="77777777" w:rsidR="001B30F1" w:rsidRDefault="001B30F1" w:rsidP="00A4095B">
            <w:pPr>
              <w:rPr>
                <w:szCs w:val="20"/>
              </w:rPr>
            </w:pPr>
            <w:r>
              <w:rPr>
                <w:szCs w:val="20"/>
              </w:rPr>
              <w:t>Substantial</w:t>
            </w:r>
          </w:p>
        </w:tc>
        <w:tc>
          <w:tcPr>
            <w:tcW w:w="1233" w:type="dxa"/>
          </w:tcPr>
          <w:p w14:paraId="3C724BE0" w14:textId="77777777" w:rsidR="001B30F1" w:rsidRPr="00AB160F" w:rsidRDefault="001B30F1" w:rsidP="00A4095B">
            <w:pPr>
              <w:rPr>
                <w:szCs w:val="20"/>
              </w:rPr>
            </w:pPr>
          </w:p>
        </w:tc>
        <w:tc>
          <w:tcPr>
            <w:tcW w:w="993" w:type="dxa"/>
          </w:tcPr>
          <w:p w14:paraId="07D5A978" w14:textId="77777777" w:rsidR="001B30F1" w:rsidRDefault="001B30F1" w:rsidP="00A4095B"/>
        </w:tc>
      </w:tr>
      <w:tr w:rsidR="001B30F1" w14:paraId="4156A2AA" w14:textId="77777777" w:rsidTr="00A4095B">
        <w:trPr>
          <w:trHeight w:val="387"/>
        </w:trPr>
        <w:tc>
          <w:tcPr>
            <w:tcW w:w="1386" w:type="dxa"/>
          </w:tcPr>
          <w:p w14:paraId="7E8AAA26" w14:textId="77777777" w:rsidR="001B30F1" w:rsidRDefault="001B30F1" w:rsidP="00A4095B">
            <w:pPr>
              <w:rPr>
                <w:szCs w:val="20"/>
              </w:rPr>
            </w:pPr>
            <w:r>
              <w:rPr>
                <w:szCs w:val="20"/>
              </w:rPr>
              <w:t>21.1</w:t>
            </w:r>
          </w:p>
        </w:tc>
        <w:tc>
          <w:tcPr>
            <w:tcW w:w="5250" w:type="dxa"/>
          </w:tcPr>
          <w:p w14:paraId="28AE64A6" w14:textId="77777777" w:rsidR="001B30F1" w:rsidRDefault="001B30F1" w:rsidP="00A4095B">
            <w:pPr>
              <w:tabs>
                <w:tab w:val="left" w:pos="360"/>
              </w:tabs>
              <w:rPr>
                <w:rFonts w:cs="Arial"/>
                <w:noProof/>
                <w:lang w:val="en-US"/>
              </w:rPr>
            </w:pPr>
            <w:r w:rsidRPr="009D0E64">
              <w:rPr>
                <w:rFonts w:cs="Arial"/>
                <w:noProof/>
                <w:lang w:val="en-US"/>
              </w:rPr>
              <w:t>It is strongly recommend that the existing</w:t>
            </w:r>
            <w:r>
              <w:rPr>
                <w:rFonts w:cs="Arial"/>
                <w:noProof/>
                <w:lang w:val="en-US"/>
              </w:rPr>
              <w:t xml:space="preserve"> domestic fire alarm coverage</w:t>
            </w:r>
            <w:r w:rsidRPr="009D0E64">
              <w:rPr>
                <w:rFonts w:cs="Arial"/>
                <w:noProof/>
                <w:lang w:val="en-US"/>
              </w:rPr>
              <w:t xml:space="preserve"> is replaced with a </w:t>
            </w:r>
            <w:r>
              <w:rPr>
                <w:rFonts w:cs="Arial"/>
                <w:noProof/>
                <w:lang w:val="en-US"/>
              </w:rPr>
              <w:t xml:space="preserve">minimum Category L3 </w:t>
            </w:r>
            <w:r w:rsidRPr="009D0E64">
              <w:rPr>
                <w:rFonts w:cs="Arial"/>
                <w:noProof/>
                <w:lang w:val="en-US"/>
              </w:rPr>
              <w:t>system in accordance with the requirements of the current British Standard BS 5839-1. On completion, a ‘Certificate of Installation and Commissioning’ of the fire alarm system will be required from the contractor responsible for the work.</w:t>
            </w:r>
            <w:r>
              <w:rPr>
                <w:rFonts w:cs="Arial"/>
                <w:noProof/>
                <w:lang w:val="en-US"/>
              </w:rPr>
              <w:t xml:space="preserve"> This level of fire alarm coverage would provide adequate life safety coverage and additionally early warning for users of the inner rooms.</w:t>
            </w:r>
          </w:p>
          <w:p w14:paraId="4557FD0F" w14:textId="77777777" w:rsidR="001B30F1" w:rsidRDefault="001B30F1" w:rsidP="00A4095B">
            <w:pPr>
              <w:tabs>
                <w:tab w:val="left" w:pos="360"/>
              </w:tabs>
              <w:rPr>
                <w:rFonts w:cs="Arial"/>
                <w:noProof/>
                <w:lang w:val="en-US"/>
              </w:rPr>
            </w:pPr>
            <w:r>
              <w:rPr>
                <w:rFonts w:cs="Arial"/>
                <w:noProof/>
                <w:lang w:val="en-US"/>
              </w:rPr>
              <w:t>It should be noted that the nursery fire procedures rely on fire alarm activation to commence evacuation as to which the current domestic arrangements are considered highly inadequate.</w:t>
            </w:r>
          </w:p>
          <w:p w14:paraId="5B941099" w14:textId="77777777" w:rsidR="001B30F1" w:rsidRDefault="001B30F1" w:rsidP="00A4095B">
            <w:pPr>
              <w:tabs>
                <w:tab w:val="left" w:pos="360"/>
              </w:tabs>
              <w:rPr>
                <w:rFonts w:cs="Arial"/>
                <w:noProof/>
                <w:lang w:val="en-US"/>
              </w:rPr>
            </w:pPr>
          </w:p>
        </w:tc>
        <w:tc>
          <w:tcPr>
            <w:tcW w:w="1345" w:type="dxa"/>
          </w:tcPr>
          <w:p w14:paraId="5A4DA9DA" w14:textId="77777777" w:rsidR="001B30F1" w:rsidRDefault="001B30F1" w:rsidP="00A4095B">
            <w:pPr>
              <w:rPr>
                <w:szCs w:val="20"/>
              </w:rPr>
            </w:pPr>
            <w:r>
              <w:rPr>
                <w:szCs w:val="20"/>
              </w:rPr>
              <w:t>Substantial</w:t>
            </w:r>
          </w:p>
        </w:tc>
        <w:tc>
          <w:tcPr>
            <w:tcW w:w="1233" w:type="dxa"/>
          </w:tcPr>
          <w:p w14:paraId="7079FC17" w14:textId="77777777" w:rsidR="001B30F1" w:rsidRPr="00AB160F" w:rsidRDefault="001B30F1" w:rsidP="00A4095B">
            <w:pPr>
              <w:rPr>
                <w:szCs w:val="20"/>
              </w:rPr>
            </w:pPr>
          </w:p>
        </w:tc>
        <w:tc>
          <w:tcPr>
            <w:tcW w:w="993" w:type="dxa"/>
          </w:tcPr>
          <w:p w14:paraId="12C8EDC7" w14:textId="77777777" w:rsidR="001B30F1" w:rsidRDefault="001B30F1" w:rsidP="00A4095B"/>
        </w:tc>
      </w:tr>
      <w:tr w:rsidR="001B30F1" w14:paraId="13EEB8B4" w14:textId="77777777" w:rsidTr="00A4095B">
        <w:trPr>
          <w:trHeight w:val="387"/>
        </w:trPr>
        <w:tc>
          <w:tcPr>
            <w:tcW w:w="1386" w:type="dxa"/>
          </w:tcPr>
          <w:p w14:paraId="33AB3684" w14:textId="77777777" w:rsidR="001B30F1" w:rsidRDefault="001B30F1" w:rsidP="00A4095B">
            <w:pPr>
              <w:rPr>
                <w:szCs w:val="20"/>
              </w:rPr>
            </w:pPr>
            <w:r>
              <w:rPr>
                <w:szCs w:val="20"/>
              </w:rPr>
              <w:t>22.3</w:t>
            </w:r>
          </w:p>
        </w:tc>
        <w:tc>
          <w:tcPr>
            <w:tcW w:w="5250" w:type="dxa"/>
          </w:tcPr>
          <w:p w14:paraId="4A5728DD" w14:textId="77777777" w:rsidR="001B30F1" w:rsidRDefault="001B30F1" w:rsidP="00A4095B">
            <w:pPr>
              <w:rPr>
                <w:rFonts w:cs="Arial"/>
                <w:noProof/>
              </w:rPr>
            </w:pPr>
            <w:r>
              <w:rPr>
                <w:rFonts w:cs="Arial"/>
                <w:noProof/>
              </w:rPr>
              <w:t xml:space="preserve">It is recommended that arrangements are made to have the fire extinguishers in the changing room corridor hung on brackets or placed within floor stands which </w:t>
            </w:r>
            <w:r w:rsidRPr="00EE5424">
              <w:rPr>
                <w:rFonts w:cs="Arial"/>
                <w:noProof/>
              </w:rPr>
              <w:t>are preferably secured in position to prevent movement of the units</w:t>
            </w:r>
            <w:r>
              <w:rPr>
                <w:rFonts w:cs="Arial"/>
                <w:noProof/>
              </w:rPr>
              <w:t>, see photograph 8.</w:t>
            </w:r>
            <w:r w:rsidRPr="00EE5424">
              <w:rPr>
                <w:rFonts w:cs="Arial"/>
                <w:noProof/>
              </w:rPr>
              <w:t xml:space="preserve"> </w:t>
            </w:r>
          </w:p>
          <w:p w14:paraId="0CC787FF" w14:textId="77777777" w:rsidR="001B30F1" w:rsidRPr="00E44127" w:rsidRDefault="001B30F1" w:rsidP="00A4095B">
            <w:pPr>
              <w:tabs>
                <w:tab w:val="left" w:pos="360"/>
              </w:tabs>
              <w:rPr>
                <w:rFonts w:cs="Arial"/>
                <w:noProof/>
                <w:lang w:val="en-US"/>
              </w:rPr>
            </w:pPr>
            <w:r w:rsidRPr="00E44127">
              <w:rPr>
                <w:rFonts w:cs="Arial"/>
                <w:noProof/>
                <w:lang w:val="en-US"/>
              </w:rPr>
              <w:lastRenderedPageBreak/>
              <w:t xml:space="preserve">Each extinguisher should be accompanied by the appropriate identification and usage signage. </w:t>
            </w:r>
          </w:p>
          <w:p w14:paraId="5DB8EFB7" w14:textId="77777777" w:rsidR="001B30F1" w:rsidRPr="009D0E64" w:rsidRDefault="001B30F1" w:rsidP="00A4095B">
            <w:pPr>
              <w:rPr>
                <w:rFonts w:cs="Arial"/>
                <w:noProof/>
                <w:lang w:val="en-US"/>
              </w:rPr>
            </w:pPr>
          </w:p>
        </w:tc>
        <w:tc>
          <w:tcPr>
            <w:tcW w:w="1345" w:type="dxa"/>
          </w:tcPr>
          <w:p w14:paraId="1AD13485" w14:textId="77777777" w:rsidR="001B30F1" w:rsidRDefault="001B30F1" w:rsidP="00A4095B">
            <w:pPr>
              <w:rPr>
                <w:szCs w:val="20"/>
              </w:rPr>
            </w:pPr>
            <w:r>
              <w:rPr>
                <w:szCs w:val="20"/>
              </w:rPr>
              <w:lastRenderedPageBreak/>
              <w:t>Substantial</w:t>
            </w:r>
          </w:p>
          <w:p w14:paraId="66D8A183" w14:textId="77777777" w:rsidR="001B30F1" w:rsidRDefault="001B30F1" w:rsidP="00A4095B">
            <w:pPr>
              <w:rPr>
                <w:szCs w:val="20"/>
              </w:rPr>
            </w:pPr>
          </w:p>
          <w:p w14:paraId="1FB91E92" w14:textId="77777777" w:rsidR="001B30F1" w:rsidRDefault="001B30F1" w:rsidP="00A4095B">
            <w:pPr>
              <w:rPr>
                <w:szCs w:val="20"/>
              </w:rPr>
            </w:pPr>
          </w:p>
          <w:p w14:paraId="1BD683CF" w14:textId="77777777" w:rsidR="001B30F1" w:rsidRDefault="001B30F1" w:rsidP="00A4095B">
            <w:pPr>
              <w:rPr>
                <w:szCs w:val="20"/>
              </w:rPr>
            </w:pPr>
          </w:p>
          <w:p w14:paraId="0F8B5B98" w14:textId="77777777" w:rsidR="001B30F1" w:rsidRDefault="001B30F1" w:rsidP="00A4095B">
            <w:pPr>
              <w:rPr>
                <w:szCs w:val="20"/>
              </w:rPr>
            </w:pPr>
          </w:p>
          <w:p w14:paraId="70457CF4" w14:textId="77777777" w:rsidR="001B30F1" w:rsidRDefault="001B30F1" w:rsidP="00A4095B">
            <w:pPr>
              <w:rPr>
                <w:szCs w:val="20"/>
              </w:rPr>
            </w:pPr>
          </w:p>
          <w:p w14:paraId="34D79953" w14:textId="77777777" w:rsidR="001B30F1" w:rsidRDefault="001B30F1" w:rsidP="00A4095B">
            <w:pPr>
              <w:rPr>
                <w:szCs w:val="20"/>
              </w:rPr>
            </w:pPr>
          </w:p>
          <w:p w14:paraId="4E21C238" w14:textId="77777777" w:rsidR="001B30F1" w:rsidRDefault="001B30F1" w:rsidP="00A4095B">
            <w:pPr>
              <w:rPr>
                <w:szCs w:val="20"/>
              </w:rPr>
            </w:pPr>
            <w:r>
              <w:rPr>
                <w:szCs w:val="20"/>
              </w:rPr>
              <w:t>Moderate</w:t>
            </w:r>
          </w:p>
        </w:tc>
        <w:tc>
          <w:tcPr>
            <w:tcW w:w="1233" w:type="dxa"/>
          </w:tcPr>
          <w:p w14:paraId="0024B99C" w14:textId="77777777" w:rsidR="001B30F1" w:rsidRPr="00AB160F" w:rsidRDefault="001B30F1" w:rsidP="00A4095B">
            <w:pPr>
              <w:rPr>
                <w:szCs w:val="20"/>
              </w:rPr>
            </w:pPr>
          </w:p>
        </w:tc>
        <w:tc>
          <w:tcPr>
            <w:tcW w:w="993" w:type="dxa"/>
          </w:tcPr>
          <w:p w14:paraId="1BF1524B" w14:textId="77777777" w:rsidR="001B30F1" w:rsidRDefault="001B30F1" w:rsidP="00A4095B"/>
        </w:tc>
      </w:tr>
      <w:tr w:rsidR="001B30F1" w14:paraId="0A8D7651" w14:textId="77777777" w:rsidTr="00A4095B">
        <w:trPr>
          <w:trHeight w:val="387"/>
        </w:trPr>
        <w:tc>
          <w:tcPr>
            <w:tcW w:w="1386" w:type="dxa"/>
          </w:tcPr>
          <w:p w14:paraId="48308EC2" w14:textId="77777777" w:rsidR="001B30F1" w:rsidRDefault="001B30F1" w:rsidP="00A4095B">
            <w:pPr>
              <w:rPr>
                <w:szCs w:val="20"/>
              </w:rPr>
            </w:pPr>
            <w:r>
              <w:rPr>
                <w:szCs w:val="20"/>
              </w:rPr>
              <w:t>22.3</w:t>
            </w:r>
          </w:p>
        </w:tc>
        <w:tc>
          <w:tcPr>
            <w:tcW w:w="5250" w:type="dxa"/>
          </w:tcPr>
          <w:p w14:paraId="09E17941" w14:textId="77777777" w:rsidR="001B30F1" w:rsidRDefault="001B30F1" w:rsidP="00A4095B">
            <w:pPr>
              <w:rPr>
                <w:rFonts w:cs="Arial"/>
                <w:noProof/>
              </w:rPr>
            </w:pPr>
            <w:r>
              <w:rPr>
                <w:rFonts w:cs="Arial"/>
                <w:noProof/>
              </w:rPr>
              <w:t xml:space="preserve">It is recommended that any obsolete or non contract extinguishers are disposed of </w:t>
            </w:r>
            <w:r w:rsidRPr="005F78DC">
              <w:rPr>
                <w:rFonts w:cs="Arial"/>
                <w:noProof/>
              </w:rPr>
              <w:t>responsibly</w:t>
            </w:r>
            <w:r>
              <w:rPr>
                <w:rFonts w:cs="Arial"/>
                <w:noProof/>
              </w:rPr>
              <w:t xml:space="preserve"> to prevent inadvertant use, see photograph 9.</w:t>
            </w:r>
          </w:p>
          <w:p w14:paraId="29F55EBF" w14:textId="77777777" w:rsidR="001B30F1" w:rsidRDefault="001B30F1" w:rsidP="00A4095B">
            <w:pPr>
              <w:tabs>
                <w:tab w:val="left" w:pos="360"/>
              </w:tabs>
              <w:rPr>
                <w:rFonts w:cs="Arial"/>
                <w:noProof/>
                <w:lang w:val="en-US"/>
              </w:rPr>
            </w:pPr>
          </w:p>
        </w:tc>
        <w:tc>
          <w:tcPr>
            <w:tcW w:w="1345" w:type="dxa"/>
          </w:tcPr>
          <w:p w14:paraId="45409EB4" w14:textId="77777777" w:rsidR="001B30F1" w:rsidRDefault="001B30F1" w:rsidP="00A4095B">
            <w:pPr>
              <w:rPr>
                <w:szCs w:val="20"/>
              </w:rPr>
            </w:pPr>
            <w:r>
              <w:rPr>
                <w:szCs w:val="20"/>
              </w:rPr>
              <w:t>Substantial</w:t>
            </w:r>
          </w:p>
        </w:tc>
        <w:tc>
          <w:tcPr>
            <w:tcW w:w="1233" w:type="dxa"/>
          </w:tcPr>
          <w:p w14:paraId="5B1526A5" w14:textId="77777777" w:rsidR="001B30F1" w:rsidRPr="00AB160F" w:rsidRDefault="001B30F1" w:rsidP="00A4095B">
            <w:pPr>
              <w:rPr>
                <w:szCs w:val="20"/>
              </w:rPr>
            </w:pPr>
          </w:p>
        </w:tc>
        <w:tc>
          <w:tcPr>
            <w:tcW w:w="993" w:type="dxa"/>
          </w:tcPr>
          <w:p w14:paraId="55787E2D" w14:textId="77777777" w:rsidR="001B30F1" w:rsidRDefault="001B30F1" w:rsidP="00A4095B"/>
        </w:tc>
      </w:tr>
      <w:tr w:rsidR="001B30F1" w14:paraId="5AD29609" w14:textId="77777777" w:rsidTr="00A4095B">
        <w:trPr>
          <w:trHeight w:val="411"/>
        </w:trPr>
        <w:tc>
          <w:tcPr>
            <w:tcW w:w="1386" w:type="dxa"/>
          </w:tcPr>
          <w:p w14:paraId="7000BF77" w14:textId="77777777" w:rsidR="001B30F1" w:rsidRDefault="001B30F1" w:rsidP="00A4095B">
            <w:pPr>
              <w:rPr>
                <w:szCs w:val="20"/>
              </w:rPr>
            </w:pPr>
            <w:r>
              <w:rPr>
                <w:szCs w:val="20"/>
              </w:rPr>
              <w:t>25.5</w:t>
            </w:r>
          </w:p>
        </w:tc>
        <w:tc>
          <w:tcPr>
            <w:tcW w:w="5250" w:type="dxa"/>
          </w:tcPr>
          <w:p w14:paraId="67BE215A" w14:textId="77777777" w:rsidR="001B30F1" w:rsidRDefault="001B30F1" w:rsidP="00A4095B">
            <w:r>
              <w:t>It is recommended that the</w:t>
            </w:r>
            <w:r w:rsidRPr="009C23E8">
              <w:t xml:space="preserve"> </w:t>
            </w:r>
            <w:r>
              <w:t>Site Specific</w:t>
            </w:r>
            <w:r w:rsidRPr="009C23E8">
              <w:t xml:space="preserve"> fire </w:t>
            </w:r>
            <w:r>
              <w:t>emergency plan is reviewed that</w:t>
            </w:r>
            <w:r w:rsidRPr="009C23E8">
              <w:t xml:space="preserve"> will augment the fire ac</w:t>
            </w:r>
            <w:r>
              <w:t xml:space="preserve">tion notices which are </w:t>
            </w:r>
            <w:r w:rsidRPr="009C23E8">
              <w:t xml:space="preserve">recommended. This plan should then be available </w:t>
            </w:r>
            <w:r>
              <w:t>to hirers and replace the existing fire note located in the premises.</w:t>
            </w:r>
          </w:p>
          <w:p w14:paraId="041273E8" w14:textId="77777777" w:rsidR="001B30F1" w:rsidRPr="007747B1" w:rsidRDefault="001B30F1" w:rsidP="00A4095B">
            <w:pPr>
              <w:pStyle w:val="BodyText"/>
              <w:rPr>
                <w:rFonts w:ascii="Verdana" w:hAnsi="Verdana"/>
                <w:szCs w:val="24"/>
              </w:rPr>
            </w:pPr>
            <w:r w:rsidRPr="007747B1">
              <w:rPr>
                <w:rFonts w:ascii="Verdana" w:hAnsi="Verdana"/>
                <w:szCs w:val="24"/>
              </w:rPr>
              <w:t>It is recommended that the following detailed issues are i</w:t>
            </w:r>
            <w:r>
              <w:rPr>
                <w:rFonts w:ascii="Verdana" w:hAnsi="Verdana"/>
                <w:szCs w:val="24"/>
              </w:rPr>
              <w:t>ncluded in the</w:t>
            </w:r>
            <w:r w:rsidRPr="007747B1">
              <w:rPr>
                <w:rFonts w:ascii="Verdana" w:hAnsi="Verdana"/>
                <w:szCs w:val="24"/>
              </w:rPr>
              <w:t xml:space="preserve"> emergency plan</w:t>
            </w:r>
            <w:r>
              <w:rPr>
                <w:rFonts w:ascii="Verdana" w:hAnsi="Verdana"/>
                <w:szCs w:val="24"/>
              </w:rPr>
              <w:t xml:space="preserve"> review</w:t>
            </w:r>
            <w:r w:rsidRPr="007747B1">
              <w:rPr>
                <w:rFonts w:ascii="Verdana" w:hAnsi="Verdana"/>
                <w:szCs w:val="24"/>
              </w:rPr>
              <w:t>:</w:t>
            </w:r>
          </w:p>
          <w:p w14:paraId="52F54892" w14:textId="77777777" w:rsidR="001B30F1" w:rsidRPr="007747B1" w:rsidRDefault="001B30F1" w:rsidP="00A4095B">
            <w:pPr>
              <w:pStyle w:val="BodyText"/>
              <w:rPr>
                <w:rFonts w:ascii="Verdana" w:hAnsi="Verdana"/>
                <w:szCs w:val="24"/>
              </w:rPr>
            </w:pPr>
          </w:p>
          <w:p w14:paraId="26EDF935" w14:textId="77777777" w:rsidR="001B30F1" w:rsidRPr="007747B1" w:rsidRDefault="001B30F1" w:rsidP="00A4095B">
            <w:pPr>
              <w:pStyle w:val="BodyText"/>
              <w:rPr>
                <w:rFonts w:ascii="Verdana" w:hAnsi="Verdana"/>
                <w:szCs w:val="24"/>
              </w:rPr>
            </w:pPr>
            <w:r w:rsidRPr="007747B1">
              <w:rPr>
                <w:rFonts w:ascii="Verdana" w:hAnsi="Verdana"/>
                <w:szCs w:val="24"/>
              </w:rPr>
              <w:t>What hirers should do if they discover a fire including:-</w:t>
            </w:r>
          </w:p>
          <w:p w14:paraId="127E3CE0" w14:textId="77777777" w:rsidR="001B30F1" w:rsidRPr="007747B1" w:rsidRDefault="001B30F1" w:rsidP="00A4095B">
            <w:pPr>
              <w:pStyle w:val="BodyText"/>
              <w:rPr>
                <w:rFonts w:ascii="Verdana" w:hAnsi="Verdana"/>
                <w:szCs w:val="24"/>
              </w:rPr>
            </w:pPr>
            <w:r w:rsidRPr="007747B1">
              <w:rPr>
                <w:rFonts w:ascii="Verdana" w:hAnsi="Verdana"/>
                <w:szCs w:val="24"/>
              </w:rPr>
              <w:t>How will people be warned there is a fire.</w:t>
            </w:r>
          </w:p>
          <w:p w14:paraId="0FF20FF4" w14:textId="77777777" w:rsidR="001B30F1" w:rsidRPr="007747B1" w:rsidRDefault="001B30F1" w:rsidP="00A4095B">
            <w:pPr>
              <w:pStyle w:val="BodyText"/>
              <w:rPr>
                <w:rFonts w:ascii="Verdana" w:hAnsi="Verdana"/>
                <w:szCs w:val="24"/>
              </w:rPr>
            </w:pPr>
            <w:r w:rsidRPr="007747B1">
              <w:rPr>
                <w:rFonts w:ascii="Verdana" w:hAnsi="Verdana"/>
                <w:szCs w:val="24"/>
              </w:rPr>
              <w:t>The correct method of operating the fire alarm or raising the alarm, including the location of the fire alarm call points and alarm indicator panels when fitted</w:t>
            </w:r>
          </w:p>
          <w:p w14:paraId="545ACE6B" w14:textId="77777777" w:rsidR="001B30F1" w:rsidRPr="007747B1" w:rsidRDefault="001B30F1" w:rsidP="00A4095B">
            <w:pPr>
              <w:pStyle w:val="BodyText"/>
              <w:rPr>
                <w:rFonts w:ascii="Verdana" w:hAnsi="Verdana"/>
                <w:szCs w:val="24"/>
              </w:rPr>
            </w:pPr>
          </w:p>
          <w:p w14:paraId="3AADC35A" w14:textId="77777777" w:rsidR="001B30F1" w:rsidRPr="007747B1" w:rsidRDefault="001B30F1" w:rsidP="00A4095B">
            <w:pPr>
              <w:pStyle w:val="BodyText"/>
              <w:rPr>
                <w:rFonts w:ascii="Verdana" w:hAnsi="Verdana"/>
                <w:szCs w:val="24"/>
              </w:rPr>
            </w:pPr>
            <w:r w:rsidRPr="007747B1">
              <w:rPr>
                <w:rFonts w:ascii="Verdana" w:hAnsi="Verdana"/>
                <w:szCs w:val="24"/>
              </w:rPr>
              <w:t xml:space="preserve">The location and use of the fire extinguishers and other </w:t>
            </w:r>
            <w:proofErr w:type="spellStart"/>
            <w:r w:rsidRPr="007747B1">
              <w:rPr>
                <w:rFonts w:ascii="Verdana" w:hAnsi="Verdana"/>
                <w:szCs w:val="24"/>
              </w:rPr>
              <w:t>fire fighting</w:t>
            </w:r>
            <w:proofErr w:type="spellEnd"/>
            <w:r w:rsidRPr="007747B1">
              <w:rPr>
                <w:rFonts w:ascii="Verdana" w:hAnsi="Verdana"/>
                <w:szCs w:val="24"/>
              </w:rPr>
              <w:t xml:space="preserve"> equipment provided and the arrangements for fighting the fire.</w:t>
            </w:r>
          </w:p>
          <w:p w14:paraId="372C1D6D" w14:textId="77777777" w:rsidR="001B30F1" w:rsidRPr="007747B1" w:rsidRDefault="001B30F1" w:rsidP="00A4095B">
            <w:pPr>
              <w:pStyle w:val="BodyText"/>
              <w:rPr>
                <w:rFonts w:ascii="Verdana" w:hAnsi="Verdana"/>
                <w:szCs w:val="24"/>
              </w:rPr>
            </w:pPr>
          </w:p>
          <w:p w14:paraId="3271AE3F" w14:textId="77777777" w:rsidR="001B30F1" w:rsidRPr="007747B1" w:rsidRDefault="001B30F1" w:rsidP="00A4095B">
            <w:pPr>
              <w:pStyle w:val="BodyText"/>
              <w:rPr>
                <w:rFonts w:ascii="Verdana" w:hAnsi="Verdana"/>
                <w:szCs w:val="24"/>
              </w:rPr>
            </w:pPr>
            <w:r w:rsidRPr="007747B1">
              <w:rPr>
                <w:rFonts w:ascii="Verdana" w:hAnsi="Verdana"/>
                <w:szCs w:val="24"/>
              </w:rPr>
              <w:t>The action to be taken upon hearing the fire alarm including:-</w:t>
            </w:r>
          </w:p>
          <w:p w14:paraId="4E3683F2" w14:textId="77777777" w:rsidR="001B30F1" w:rsidRPr="007747B1" w:rsidRDefault="001B30F1" w:rsidP="00A4095B">
            <w:pPr>
              <w:pStyle w:val="BodyText"/>
              <w:rPr>
                <w:rFonts w:ascii="Verdana" w:hAnsi="Verdana"/>
                <w:szCs w:val="24"/>
              </w:rPr>
            </w:pPr>
            <w:r w:rsidRPr="007747B1">
              <w:rPr>
                <w:rFonts w:ascii="Verdana" w:hAnsi="Verdana"/>
                <w:szCs w:val="24"/>
              </w:rPr>
              <w:t>The duties and identities of staff that have specific responsibilities in case of fire.</w:t>
            </w:r>
          </w:p>
          <w:p w14:paraId="1C70CBAF" w14:textId="77777777" w:rsidR="001B30F1" w:rsidRPr="007747B1" w:rsidRDefault="001B30F1" w:rsidP="00A4095B">
            <w:pPr>
              <w:pStyle w:val="BodyText"/>
              <w:rPr>
                <w:rFonts w:ascii="Verdana" w:hAnsi="Verdana"/>
                <w:szCs w:val="24"/>
              </w:rPr>
            </w:pPr>
            <w:r w:rsidRPr="007747B1">
              <w:rPr>
                <w:rFonts w:ascii="Verdana" w:hAnsi="Verdana"/>
                <w:szCs w:val="24"/>
              </w:rPr>
              <w:t xml:space="preserve">Isolating power supplies where appropriate. </w:t>
            </w:r>
          </w:p>
          <w:p w14:paraId="2E42BA36" w14:textId="77777777" w:rsidR="001B30F1" w:rsidRPr="007747B1" w:rsidRDefault="001B30F1" w:rsidP="00A4095B">
            <w:pPr>
              <w:pStyle w:val="BodyText"/>
              <w:rPr>
                <w:rFonts w:ascii="Verdana" w:hAnsi="Verdana"/>
                <w:szCs w:val="24"/>
              </w:rPr>
            </w:pPr>
          </w:p>
          <w:p w14:paraId="50EE87F4" w14:textId="77777777" w:rsidR="001B30F1" w:rsidRPr="007747B1" w:rsidRDefault="001B30F1" w:rsidP="00A4095B">
            <w:pPr>
              <w:pStyle w:val="BodyText"/>
              <w:rPr>
                <w:rFonts w:ascii="Verdana" w:hAnsi="Verdana"/>
                <w:szCs w:val="24"/>
              </w:rPr>
            </w:pPr>
            <w:r w:rsidRPr="007747B1">
              <w:rPr>
                <w:rFonts w:ascii="Verdana" w:hAnsi="Verdana"/>
                <w:szCs w:val="24"/>
              </w:rPr>
              <w:t>How the premises should be evacuated including:-</w:t>
            </w:r>
          </w:p>
          <w:p w14:paraId="69E2696A" w14:textId="77777777" w:rsidR="001B30F1" w:rsidRPr="007747B1" w:rsidRDefault="001B30F1" w:rsidP="00A4095B">
            <w:pPr>
              <w:pStyle w:val="BodyText"/>
              <w:rPr>
                <w:rFonts w:ascii="Verdana" w:hAnsi="Verdana"/>
                <w:szCs w:val="24"/>
              </w:rPr>
            </w:pPr>
            <w:r w:rsidRPr="007747B1">
              <w:rPr>
                <w:rFonts w:ascii="Verdana" w:hAnsi="Verdana"/>
                <w:szCs w:val="24"/>
              </w:rPr>
              <w:t>The identification of all the alternative escape routes available.</w:t>
            </w:r>
          </w:p>
          <w:p w14:paraId="2DF2F62E" w14:textId="77777777" w:rsidR="001B30F1" w:rsidRPr="007747B1" w:rsidRDefault="001B30F1" w:rsidP="00A4095B">
            <w:pPr>
              <w:pStyle w:val="BodyText"/>
              <w:rPr>
                <w:rFonts w:ascii="Verdana" w:hAnsi="Verdana"/>
                <w:szCs w:val="24"/>
              </w:rPr>
            </w:pPr>
            <w:r w:rsidRPr="007747B1">
              <w:rPr>
                <w:rFonts w:ascii="Verdana" w:hAnsi="Verdana"/>
                <w:szCs w:val="24"/>
              </w:rPr>
              <w:t>How people may gain immediate access to alternative escape routes and exit the building. (changing room corridor)</w:t>
            </w:r>
          </w:p>
          <w:p w14:paraId="5CDB010D" w14:textId="77777777" w:rsidR="001B30F1" w:rsidRPr="007747B1" w:rsidRDefault="001B30F1" w:rsidP="00A4095B">
            <w:pPr>
              <w:pStyle w:val="BodyText"/>
              <w:rPr>
                <w:rFonts w:ascii="Verdana" w:hAnsi="Verdana"/>
                <w:szCs w:val="24"/>
              </w:rPr>
            </w:pPr>
            <w:r w:rsidRPr="007747B1">
              <w:rPr>
                <w:rFonts w:ascii="Verdana" w:hAnsi="Verdana"/>
                <w:szCs w:val="24"/>
              </w:rPr>
              <w:t>The arrangements for the safe evacuation of visitors to the premises.</w:t>
            </w:r>
          </w:p>
          <w:p w14:paraId="58C42E5B" w14:textId="77777777" w:rsidR="001B30F1" w:rsidRPr="007747B1" w:rsidRDefault="001B30F1" w:rsidP="00A4095B">
            <w:pPr>
              <w:pStyle w:val="BodyText"/>
              <w:rPr>
                <w:rFonts w:ascii="Verdana" w:hAnsi="Verdana"/>
                <w:szCs w:val="24"/>
              </w:rPr>
            </w:pPr>
            <w:r w:rsidRPr="007747B1">
              <w:rPr>
                <w:rFonts w:ascii="Verdana" w:hAnsi="Verdana"/>
                <w:szCs w:val="24"/>
              </w:rPr>
              <w:t>The arrangements for the safe evacuation of people who are identified as being especially at risk such as those with disabilities and young persons (Honeybees)</w:t>
            </w:r>
            <w:r>
              <w:rPr>
                <w:rFonts w:ascii="Verdana" w:hAnsi="Verdana"/>
                <w:szCs w:val="24"/>
              </w:rPr>
              <w:t>.</w:t>
            </w:r>
          </w:p>
          <w:p w14:paraId="793342B4" w14:textId="77777777" w:rsidR="001B30F1" w:rsidRPr="007747B1" w:rsidRDefault="001B30F1" w:rsidP="00A4095B">
            <w:pPr>
              <w:pStyle w:val="BodyText"/>
              <w:rPr>
                <w:rFonts w:ascii="Verdana" w:hAnsi="Verdana"/>
                <w:szCs w:val="24"/>
              </w:rPr>
            </w:pPr>
            <w:r w:rsidRPr="007747B1">
              <w:rPr>
                <w:rFonts w:ascii="Verdana" w:hAnsi="Verdana"/>
                <w:szCs w:val="24"/>
              </w:rPr>
              <w:t>The correct method of calling the Fire and Rescue Service and who are responsible for this.</w:t>
            </w:r>
          </w:p>
          <w:p w14:paraId="3E92F7F0" w14:textId="77777777" w:rsidR="001B30F1" w:rsidRPr="007747B1" w:rsidRDefault="001B30F1" w:rsidP="00A4095B">
            <w:pPr>
              <w:pStyle w:val="BodyText"/>
              <w:rPr>
                <w:rFonts w:ascii="Verdana" w:hAnsi="Verdana"/>
                <w:szCs w:val="24"/>
              </w:rPr>
            </w:pPr>
            <w:r w:rsidRPr="007747B1">
              <w:rPr>
                <w:rFonts w:ascii="Verdana" w:hAnsi="Verdana"/>
                <w:szCs w:val="24"/>
              </w:rPr>
              <w:t>Where people should assemble after they have left the premises.</w:t>
            </w:r>
          </w:p>
          <w:p w14:paraId="273E9877" w14:textId="77777777" w:rsidR="001B30F1" w:rsidRPr="007747B1" w:rsidRDefault="001B30F1" w:rsidP="00A4095B">
            <w:pPr>
              <w:pStyle w:val="BodyText"/>
              <w:rPr>
                <w:rFonts w:ascii="Verdana" w:hAnsi="Verdana"/>
                <w:szCs w:val="24"/>
              </w:rPr>
            </w:pPr>
            <w:r w:rsidRPr="007747B1">
              <w:rPr>
                <w:rFonts w:ascii="Verdana" w:hAnsi="Verdana"/>
                <w:szCs w:val="24"/>
              </w:rPr>
              <w:t>‘Roll call’ procedures for checking that the premises have been completely evacuated.</w:t>
            </w:r>
          </w:p>
          <w:p w14:paraId="276BE4C0" w14:textId="77777777" w:rsidR="001B30F1" w:rsidRPr="007747B1" w:rsidRDefault="001B30F1" w:rsidP="00A4095B">
            <w:pPr>
              <w:pStyle w:val="BodyText"/>
              <w:rPr>
                <w:rFonts w:ascii="Verdana" w:hAnsi="Verdana"/>
                <w:szCs w:val="24"/>
              </w:rPr>
            </w:pPr>
            <w:r w:rsidRPr="007747B1">
              <w:rPr>
                <w:rFonts w:ascii="Verdana" w:hAnsi="Verdana"/>
                <w:szCs w:val="24"/>
              </w:rPr>
              <w:t xml:space="preserve">Procedures for meeting the Fire and Rescue Service on their arrival and notifying them of any </w:t>
            </w:r>
            <w:r w:rsidRPr="007747B1">
              <w:rPr>
                <w:rFonts w:ascii="Verdana" w:hAnsi="Verdana"/>
                <w:szCs w:val="24"/>
              </w:rPr>
              <w:lastRenderedPageBreak/>
              <w:t xml:space="preserve">special risks which exist, e.g. the possible location of anyone known to be missing. </w:t>
            </w:r>
          </w:p>
          <w:p w14:paraId="71335338" w14:textId="77777777" w:rsidR="001B30F1" w:rsidRPr="007747B1" w:rsidRDefault="001B30F1" w:rsidP="00A4095B">
            <w:pPr>
              <w:pStyle w:val="BodyText"/>
              <w:rPr>
                <w:rFonts w:ascii="Verdana" w:hAnsi="Verdana"/>
                <w:szCs w:val="24"/>
              </w:rPr>
            </w:pPr>
            <w:r w:rsidRPr="007747B1">
              <w:rPr>
                <w:rFonts w:ascii="Verdana" w:hAnsi="Verdana"/>
                <w:szCs w:val="24"/>
              </w:rPr>
              <w:t>Maintaining the fire precautions including:</w:t>
            </w:r>
          </w:p>
          <w:p w14:paraId="590C7165" w14:textId="77777777" w:rsidR="001B30F1" w:rsidRPr="007747B1" w:rsidRDefault="001B30F1" w:rsidP="00A4095B">
            <w:pPr>
              <w:pStyle w:val="BodyText"/>
              <w:rPr>
                <w:rFonts w:ascii="Verdana" w:hAnsi="Verdana"/>
                <w:szCs w:val="24"/>
              </w:rPr>
            </w:pPr>
            <w:r w:rsidRPr="007747B1">
              <w:rPr>
                <w:rFonts w:ascii="Verdana" w:hAnsi="Verdana"/>
                <w:szCs w:val="24"/>
              </w:rPr>
              <w:t>An appreciation of the importance of fire doors and the need to keep them closed at all times.</w:t>
            </w:r>
          </w:p>
          <w:p w14:paraId="4D6718D1" w14:textId="77777777" w:rsidR="001B30F1" w:rsidRPr="007747B1" w:rsidRDefault="001B30F1" w:rsidP="00A4095B">
            <w:pPr>
              <w:pStyle w:val="BodyText"/>
              <w:rPr>
                <w:rFonts w:ascii="Verdana" w:hAnsi="Verdana"/>
                <w:szCs w:val="24"/>
              </w:rPr>
            </w:pPr>
            <w:r w:rsidRPr="007747B1">
              <w:rPr>
                <w:rFonts w:ascii="Verdana" w:hAnsi="Verdana"/>
                <w:szCs w:val="24"/>
              </w:rPr>
              <w:t>The importance of keeping fire exit routes clear of obstructions, combustible storage and sources of ignition.</w:t>
            </w:r>
          </w:p>
          <w:p w14:paraId="072FDDB3" w14:textId="77777777" w:rsidR="001B30F1" w:rsidRPr="007747B1" w:rsidRDefault="001B30F1" w:rsidP="00A4095B">
            <w:pPr>
              <w:pStyle w:val="BodyText"/>
              <w:rPr>
                <w:rFonts w:ascii="Verdana" w:hAnsi="Verdana"/>
                <w:szCs w:val="24"/>
              </w:rPr>
            </w:pPr>
            <w:r w:rsidRPr="007747B1">
              <w:rPr>
                <w:rFonts w:ascii="Verdana" w:hAnsi="Verdana"/>
                <w:szCs w:val="24"/>
              </w:rPr>
              <w:t xml:space="preserve">The importance of keeping the </w:t>
            </w:r>
            <w:proofErr w:type="spellStart"/>
            <w:r w:rsidRPr="007747B1">
              <w:rPr>
                <w:rFonts w:ascii="Verdana" w:hAnsi="Verdana"/>
                <w:szCs w:val="24"/>
              </w:rPr>
              <w:t>fire fighting</w:t>
            </w:r>
            <w:proofErr w:type="spellEnd"/>
            <w:r w:rsidRPr="007747B1">
              <w:rPr>
                <w:rFonts w:ascii="Verdana" w:hAnsi="Verdana"/>
                <w:szCs w:val="24"/>
              </w:rPr>
              <w:t xml:space="preserve"> equipment unobstructed and available.</w:t>
            </w:r>
          </w:p>
          <w:p w14:paraId="5258D259" w14:textId="77777777" w:rsidR="001B30F1" w:rsidRDefault="001B30F1" w:rsidP="00A4095B">
            <w:pPr>
              <w:rPr>
                <w:rFonts w:cs="Verdana"/>
                <w:szCs w:val="20"/>
                <w:lang w:eastAsia="en-GB"/>
              </w:rPr>
            </w:pPr>
          </w:p>
        </w:tc>
        <w:tc>
          <w:tcPr>
            <w:tcW w:w="1345" w:type="dxa"/>
          </w:tcPr>
          <w:p w14:paraId="348A949F" w14:textId="77777777" w:rsidR="001B30F1" w:rsidRDefault="001B30F1" w:rsidP="00A4095B">
            <w:pPr>
              <w:rPr>
                <w:szCs w:val="20"/>
              </w:rPr>
            </w:pPr>
            <w:r>
              <w:rPr>
                <w:szCs w:val="20"/>
              </w:rPr>
              <w:lastRenderedPageBreak/>
              <w:t>Substantial</w:t>
            </w:r>
          </w:p>
        </w:tc>
        <w:tc>
          <w:tcPr>
            <w:tcW w:w="1233" w:type="dxa"/>
          </w:tcPr>
          <w:p w14:paraId="43746E01" w14:textId="77777777" w:rsidR="001B30F1" w:rsidRPr="00AB160F" w:rsidRDefault="001B30F1" w:rsidP="00A4095B">
            <w:pPr>
              <w:rPr>
                <w:szCs w:val="20"/>
              </w:rPr>
            </w:pPr>
          </w:p>
        </w:tc>
        <w:tc>
          <w:tcPr>
            <w:tcW w:w="993" w:type="dxa"/>
          </w:tcPr>
          <w:p w14:paraId="64ACF8D3" w14:textId="77777777" w:rsidR="001B30F1" w:rsidRDefault="001B30F1" w:rsidP="00A4095B"/>
        </w:tc>
      </w:tr>
      <w:tr w:rsidR="001B30F1" w14:paraId="6754E60D" w14:textId="77777777" w:rsidTr="00A4095B">
        <w:trPr>
          <w:trHeight w:val="411"/>
        </w:trPr>
        <w:tc>
          <w:tcPr>
            <w:tcW w:w="1386" w:type="dxa"/>
          </w:tcPr>
          <w:p w14:paraId="5BD2B9E0" w14:textId="77777777" w:rsidR="001B30F1" w:rsidRDefault="001B30F1" w:rsidP="00A4095B">
            <w:pPr>
              <w:rPr>
                <w:szCs w:val="20"/>
              </w:rPr>
            </w:pPr>
            <w:r>
              <w:rPr>
                <w:szCs w:val="20"/>
              </w:rPr>
              <w:t>27.2</w:t>
            </w:r>
          </w:p>
        </w:tc>
        <w:tc>
          <w:tcPr>
            <w:tcW w:w="5250" w:type="dxa"/>
          </w:tcPr>
          <w:p w14:paraId="3E31A1B7" w14:textId="77777777" w:rsidR="001B30F1" w:rsidRPr="009A6ACB" w:rsidRDefault="001B30F1" w:rsidP="00A4095B">
            <w:pPr>
              <w:autoSpaceDE w:val="0"/>
              <w:autoSpaceDN w:val="0"/>
              <w:adjustRightInd w:val="0"/>
              <w:rPr>
                <w:rFonts w:cs="Arial"/>
              </w:rPr>
            </w:pPr>
            <w:r w:rsidRPr="009D0E64">
              <w:rPr>
                <w:rFonts w:ascii="Arial" w:hAnsi="Arial" w:cs="Arial"/>
                <w:b/>
              </w:rPr>
              <w:t xml:space="preserve"> </w:t>
            </w:r>
            <w:r w:rsidRPr="009A6ACB">
              <w:rPr>
                <w:rFonts w:cs="Arial"/>
              </w:rPr>
              <w:t>It is recommended that all types of fire alarm systems, those which have been installed in compliance with the current British Standard 5839-6 (domestic dwellings) should be tested by management as recommended by the current British Standard 5839-1, on a weekly basis, preferably at the same time and on the same day each week</w:t>
            </w:r>
            <w:r>
              <w:rPr>
                <w:rFonts w:cs="Arial"/>
              </w:rPr>
              <w:t>.</w:t>
            </w:r>
          </w:p>
          <w:p w14:paraId="1115AD12" w14:textId="77777777" w:rsidR="001B30F1" w:rsidRDefault="001B30F1" w:rsidP="00A4095B">
            <w:pPr>
              <w:autoSpaceDE w:val="0"/>
              <w:autoSpaceDN w:val="0"/>
              <w:adjustRightInd w:val="0"/>
              <w:rPr>
                <w:rFonts w:cs="Verdana"/>
                <w:szCs w:val="20"/>
                <w:lang w:eastAsia="en-GB"/>
              </w:rPr>
            </w:pPr>
          </w:p>
        </w:tc>
        <w:tc>
          <w:tcPr>
            <w:tcW w:w="1345" w:type="dxa"/>
          </w:tcPr>
          <w:p w14:paraId="079D38E0" w14:textId="77777777" w:rsidR="001B30F1" w:rsidRDefault="001B30F1" w:rsidP="00A4095B">
            <w:pPr>
              <w:rPr>
                <w:szCs w:val="20"/>
              </w:rPr>
            </w:pPr>
            <w:r>
              <w:rPr>
                <w:szCs w:val="20"/>
              </w:rPr>
              <w:t>Substantial</w:t>
            </w:r>
          </w:p>
        </w:tc>
        <w:tc>
          <w:tcPr>
            <w:tcW w:w="1233" w:type="dxa"/>
          </w:tcPr>
          <w:p w14:paraId="359B98BB" w14:textId="77777777" w:rsidR="001B30F1" w:rsidRPr="00AB160F" w:rsidRDefault="001B30F1" w:rsidP="00A4095B">
            <w:pPr>
              <w:rPr>
                <w:szCs w:val="20"/>
              </w:rPr>
            </w:pPr>
          </w:p>
        </w:tc>
        <w:tc>
          <w:tcPr>
            <w:tcW w:w="993" w:type="dxa"/>
          </w:tcPr>
          <w:p w14:paraId="2D3F0FFB" w14:textId="77777777" w:rsidR="001B30F1" w:rsidRDefault="001B30F1" w:rsidP="00A4095B"/>
        </w:tc>
      </w:tr>
      <w:tr w:rsidR="001B30F1" w14:paraId="76E06CF8" w14:textId="77777777" w:rsidTr="00A4095B">
        <w:trPr>
          <w:trHeight w:val="411"/>
        </w:trPr>
        <w:tc>
          <w:tcPr>
            <w:tcW w:w="1386" w:type="dxa"/>
          </w:tcPr>
          <w:p w14:paraId="3F0A60B5" w14:textId="77777777" w:rsidR="001B30F1" w:rsidRDefault="001B30F1" w:rsidP="00A4095B">
            <w:pPr>
              <w:rPr>
                <w:szCs w:val="20"/>
              </w:rPr>
            </w:pPr>
            <w:r>
              <w:rPr>
                <w:szCs w:val="20"/>
              </w:rPr>
              <w:t>27.3</w:t>
            </w:r>
          </w:p>
        </w:tc>
        <w:tc>
          <w:tcPr>
            <w:tcW w:w="5250" w:type="dxa"/>
          </w:tcPr>
          <w:p w14:paraId="0C2CCD62" w14:textId="77777777" w:rsidR="001B30F1" w:rsidRDefault="001B30F1" w:rsidP="00A4095B">
            <w:pPr>
              <w:pStyle w:val="BodyText"/>
              <w:rPr>
                <w:rFonts w:ascii="Verdana" w:hAnsi="Verdana" w:cs="Arial"/>
              </w:rPr>
            </w:pPr>
            <w:r w:rsidRPr="009A6ACB">
              <w:rPr>
                <w:rFonts w:ascii="Verdana" w:hAnsi="Verdana" w:cs="Arial"/>
              </w:rPr>
              <w:t xml:space="preserve">It is recommended that </w:t>
            </w:r>
            <w:r>
              <w:rPr>
                <w:rFonts w:ascii="Verdana" w:hAnsi="Verdana" w:cs="Arial"/>
              </w:rPr>
              <w:t xml:space="preserve">the emergency lighting in the nursery is included in the monthly flick testing regime and records maintained. </w:t>
            </w:r>
          </w:p>
          <w:p w14:paraId="2DCFE2F9" w14:textId="77777777" w:rsidR="001B30F1" w:rsidRPr="009D0E64" w:rsidRDefault="001B30F1" w:rsidP="00A4095B">
            <w:pPr>
              <w:pStyle w:val="BodyText"/>
              <w:rPr>
                <w:rFonts w:ascii="Arial" w:hAnsi="Arial" w:cs="Arial"/>
                <w:b/>
              </w:rPr>
            </w:pPr>
          </w:p>
        </w:tc>
        <w:tc>
          <w:tcPr>
            <w:tcW w:w="1345" w:type="dxa"/>
          </w:tcPr>
          <w:p w14:paraId="1B43310B" w14:textId="77777777" w:rsidR="001B30F1" w:rsidRDefault="001B30F1" w:rsidP="00A4095B">
            <w:pPr>
              <w:rPr>
                <w:szCs w:val="20"/>
              </w:rPr>
            </w:pPr>
            <w:r>
              <w:rPr>
                <w:szCs w:val="20"/>
              </w:rPr>
              <w:t>Substantial</w:t>
            </w:r>
          </w:p>
        </w:tc>
        <w:tc>
          <w:tcPr>
            <w:tcW w:w="1233" w:type="dxa"/>
          </w:tcPr>
          <w:p w14:paraId="7BBD2A84" w14:textId="77777777" w:rsidR="001B30F1" w:rsidRPr="00AB160F" w:rsidRDefault="001B30F1" w:rsidP="00A4095B">
            <w:pPr>
              <w:rPr>
                <w:szCs w:val="20"/>
              </w:rPr>
            </w:pPr>
          </w:p>
        </w:tc>
        <w:tc>
          <w:tcPr>
            <w:tcW w:w="993" w:type="dxa"/>
          </w:tcPr>
          <w:p w14:paraId="2314FAA6" w14:textId="77777777" w:rsidR="001B30F1" w:rsidRDefault="001B30F1" w:rsidP="00A4095B"/>
        </w:tc>
      </w:tr>
    </w:tbl>
    <w:p w14:paraId="1AC16EEA" w14:textId="77777777" w:rsidR="006E3DBC" w:rsidRDefault="006E3DBC"/>
    <w:sectPr w:rsidR="006E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F1"/>
    <w:rsid w:val="001B30F1"/>
    <w:rsid w:val="006E3DBC"/>
    <w:rsid w:val="00A9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4BB6"/>
  <w15:chartTrackingRefBased/>
  <w15:docId w15:val="{083C1868-EEDE-481C-95F4-46D295B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F1"/>
    <w:pPr>
      <w:spacing w:after="0" w:line="240" w:lineRule="auto"/>
    </w:pPr>
    <w:rPr>
      <w:rFonts w:ascii="Verdana" w:eastAsia="MS Mincho" w:hAnsi="Verdana"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30F1"/>
    <w:rPr>
      <w:rFonts w:ascii="Times New Roman" w:hAnsi="Times New Roman"/>
      <w:szCs w:val="20"/>
      <w:lang w:eastAsia="en-GB"/>
    </w:rPr>
  </w:style>
  <w:style w:type="character" w:customStyle="1" w:styleId="BodyTextChar">
    <w:name w:val="Body Text Char"/>
    <w:basedOn w:val="DefaultParagraphFont"/>
    <w:link w:val="BodyText"/>
    <w:uiPriority w:val="99"/>
    <w:rsid w:val="001B30F1"/>
    <w:rPr>
      <w:rFonts w:ascii="Times New Roman" w:eastAsia="MS Mincho" w:hAnsi="Times New Roman" w:cs="Times New Roman"/>
      <w:sz w:val="20"/>
      <w:szCs w:val="20"/>
      <w:lang w:eastAsia="en-GB"/>
    </w:rPr>
  </w:style>
  <w:style w:type="paragraph" w:customStyle="1" w:styleId="Default">
    <w:name w:val="Default"/>
    <w:uiPriority w:val="99"/>
    <w:rsid w:val="001B30F1"/>
    <w:pPr>
      <w:autoSpaceDE w:val="0"/>
      <w:autoSpaceDN w:val="0"/>
      <w:adjustRightInd w:val="0"/>
      <w:spacing w:after="0" w:line="240" w:lineRule="auto"/>
    </w:pPr>
    <w:rPr>
      <w:rFonts w:ascii="Verdana" w:eastAsia="MS Mincho"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Rawson</dc:creator>
  <cp:keywords/>
  <dc:description/>
  <cp:lastModifiedBy>Anita Emery</cp:lastModifiedBy>
  <cp:revision>2</cp:revision>
  <dcterms:created xsi:type="dcterms:W3CDTF">2020-11-03T12:16:00Z</dcterms:created>
  <dcterms:modified xsi:type="dcterms:W3CDTF">2020-11-03T12:16:00Z</dcterms:modified>
</cp:coreProperties>
</file>